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overflowPunct w:val="0"/>
        <w:autoSpaceDE w:val="0"/>
        <w:autoSpaceDN w:val="0"/>
        <w:adjustRightInd w:val="0"/>
        <w:spacing w:line="360" w:lineRule="auto"/>
        <w:ind w:left="360"/>
        <w:jc w:val="center"/>
        <w:textAlignment w:val="baseline"/>
        <w:outlineLvl w:val="0"/>
        <w:rPr>
          <w:rFonts w:cs="Arial"/>
          <w:b/>
          <w:color w:val="auto"/>
          <w:sz w:val="26"/>
          <w:szCs w:val="26"/>
          <w:lang w:eastAsia="en-US"/>
        </w:rPr>
      </w:pPr>
      <w:r>
        <w:rPr>
          <w:rFonts w:cs="Arial"/>
          <w:b/>
          <w:color w:val="auto"/>
          <w:sz w:val="26"/>
          <w:szCs w:val="26"/>
          <w:lang w:eastAsia="en-US"/>
        </w:rPr>
        <w:t>Adopted by special resolution on 19</w:t>
      </w:r>
      <w:r>
        <w:rPr>
          <w:rFonts w:cs="Arial"/>
          <w:b/>
          <w:color w:val="auto"/>
          <w:sz w:val="26"/>
          <w:szCs w:val="26"/>
          <w:vertAlign w:val="superscript"/>
          <w:lang w:eastAsia="en-US"/>
        </w:rPr>
        <w:t>th</w:t>
      </w:r>
      <w:r>
        <w:rPr>
          <w:rFonts w:cs="Arial"/>
          <w:b/>
          <w:color w:val="auto"/>
          <w:sz w:val="26"/>
          <w:szCs w:val="26"/>
          <w:lang w:eastAsia="en-US"/>
        </w:rPr>
        <w:t xml:space="preserve"> April 2</w:t>
      </w:r>
      <w:bookmarkStart w:id="0" w:name="_GoBack"/>
      <w:bookmarkEnd w:id="0"/>
      <w:r>
        <w:rPr>
          <w:rFonts w:cs="Arial"/>
          <w:b/>
          <w:color w:val="auto"/>
          <w:sz w:val="26"/>
          <w:szCs w:val="26"/>
          <w:lang w:eastAsia="en-US"/>
        </w:rPr>
        <w:t>017</w:t>
      </w:r>
    </w:p>
    <w:p>
      <w:pPr>
        <w:widowControl w:val="0"/>
        <w:overflowPunct w:val="0"/>
        <w:autoSpaceDE w:val="0"/>
        <w:autoSpaceDN w:val="0"/>
        <w:adjustRightInd w:val="0"/>
        <w:spacing w:line="360" w:lineRule="auto"/>
        <w:ind w:left="360"/>
        <w:jc w:val="center"/>
        <w:textAlignment w:val="baseline"/>
        <w:outlineLvl w:val="0"/>
        <w:rPr>
          <w:rFonts w:cs="Arial"/>
          <w:b/>
          <w:color w:val="auto"/>
          <w:sz w:val="26"/>
          <w:szCs w:val="26"/>
          <w:lang w:eastAsia="en-US"/>
        </w:rPr>
      </w:pPr>
    </w:p>
    <w:p>
      <w:pPr>
        <w:widowControl w:val="0"/>
        <w:overflowPunct w:val="0"/>
        <w:autoSpaceDE w:val="0"/>
        <w:autoSpaceDN w:val="0"/>
        <w:adjustRightInd w:val="0"/>
        <w:spacing w:line="360" w:lineRule="auto"/>
        <w:ind w:left="360"/>
        <w:jc w:val="center"/>
        <w:textAlignment w:val="baseline"/>
        <w:outlineLvl w:val="0"/>
        <w:rPr>
          <w:rFonts w:cs="Arial"/>
          <w:b/>
          <w:color w:val="auto"/>
          <w:sz w:val="26"/>
          <w:szCs w:val="26"/>
          <w:lang w:eastAsia="en-US"/>
        </w:rPr>
      </w:pPr>
    </w:p>
    <w:p>
      <w:pPr>
        <w:widowControl w:val="0"/>
        <w:overflowPunct w:val="0"/>
        <w:autoSpaceDE w:val="0"/>
        <w:adjustRightInd w:val="0"/>
        <w:spacing w:line="360" w:lineRule="auto"/>
        <w:jc w:val="center"/>
        <w:textAlignment w:val="baseline"/>
        <w:outlineLvl w:val="0"/>
        <w:rPr>
          <w:rFonts w:cs="Arial"/>
          <w:b/>
          <w:color w:val="auto"/>
          <w:lang w:eastAsia="en-US"/>
        </w:rPr>
      </w:pPr>
      <w:r>
        <w:rPr>
          <w:rFonts w:cs="Arial"/>
          <w:b/>
          <w:color w:val="auto"/>
          <w:lang w:eastAsia="en-US"/>
        </w:rPr>
        <w:t>THE COMPANIES ACT 2006</w:t>
      </w:r>
    </w:p>
    <w:p>
      <w:pPr>
        <w:widowControl w:val="0"/>
        <w:tabs>
          <w:tab w:val="left" w:pos="5387"/>
        </w:tabs>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outlineLvl w:val="0"/>
        <w:rPr>
          <w:rFonts w:cs="Arial"/>
          <w:b/>
          <w:color w:val="auto"/>
          <w:lang w:eastAsia="en-US"/>
        </w:rPr>
      </w:pPr>
      <w:r>
        <w:rPr>
          <w:rFonts w:cs="Arial"/>
          <w:b/>
          <w:color w:val="auto"/>
          <w:lang w:eastAsia="en-US"/>
        </w:rPr>
        <w:t>A COMPANY LIMITED BY GUARANTEE</w:t>
      </w:r>
    </w:p>
    <w:p>
      <w:pPr>
        <w:widowControl w:val="0"/>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rPr>
          <w:rFonts w:cs="Arial"/>
          <w:b/>
          <w:color w:val="auto"/>
          <w:lang w:eastAsia="en-US"/>
        </w:rPr>
      </w:pPr>
      <w:r>
        <w:rPr>
          <w:rFonts w:cs="Arial"/>
          <w:b/>
          <w:color w:val="auto"/>
          <w:lang w:eastAsia="en-US"/>
        </w:rPr>
        <w:t>ARTICLES OF ASSOCIATION</w:t>
      </w:r>
    </w:p>
    <w:p>
      <w:pPr>
        <w:widowControl w:val="0"/>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rPr>
          <w:rFonts w:cs="Arial"/>
          <w:b/>
          <w:color w:val="auto"/>
          <w:lang w:eastAsia="en-US"/>
        </w:rPr>
      </w:pPr>
      <w:r>
        <w:rPr>
          <w:rFonts w:cs="Arial"/>
          <w:b/>
          <w:color w:val="auto"/>
          <w:lang w:eastAsia="en-US"/>
        </w:rPr>
        <w:t>OF</w:t>
      </w:r>
    </w:p>
    <w:p>
      <w:pPr>
        <w:widowControl w:val="0"/>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rPr>
          <w:rFonts w:cs="Arial"/>
          <w:b/>
          <w:color w:val="auto"/>
          <w:lang w:eastAsia="en-US"/>
        </w:rPr>
      </w:pPr>
      <w:r>
        <w:rPr>
          <w:rFonts w:cs="Arial"/>
          <w:b/>
          <w:color w:val="auto"/>
          <w:lang w:eastAsia="en-US"/>
        </w:rPr>
        <w:t>THE INSPIRING CHANGE MULTI-ACADEMY TRUST</w:t>
      </w:r>
    </w:p>
    <w:p>
      <w:pPr>
        <w:widowControl w:val="0"/>
        <w:overflowPunct w:val="0"/>
        <w:autoSpaceDE w:val="0"/>
        <w:adjustRightInd w:val="0"/>
        <w:spacing w:line="360" w:lineRule="auto"/>
        <w:jc w:val="center"/>
        <w:textAlignment w:val="baseline"/>
        <w:rPr>
          <w:rFonts w:cs="Arial"/>
          <w:b/>
          <w:color w:val="auto"/>
          <w:lang w:eastAsia="en-US"/>
        </w:rPr>
      </w:pPr>
    </w:p>
    <w:p>
      <w:pPr>
        <w:widowControl w:val="0"/>
        <w:overflowPunct w:val="0"/>
        <w:autoSpaceDE w:val="0"/>
        <w:adjustRightInd w:val="0"/>
        <w:spacing w:line="360" w:lineRule="auto"/>
        <w:jc w:val="center"/>
        <w:textAlignment w:val="baseline"/>
        <w:rPr>
          <w:rFonts w:cs="Arial"/>
          <w:color w:val="auto"/>
          <w:lang w:eastAsia="en-US"/>
        </w:rPr>
      </w:pPr>
      <w:r>
        <w:rPr>
          <w:rFonts w:cs="Arial"/>
          <w:b/>
          <w:color w:val="auto"/>
          <w:lang w:eastAsia="en-US"/>
        </w:rPr>
        <w:t>COMPANY NUMBER: 10393053</w:t>
      </w:r>
    </w:p>
    <w:p>
      <w:pPr>
        <w:autoSpaceDN w:val="0"/>
        <w:spacing w:after="0" w:line="240" w:lineRule="auto"/>
        <w:textAlignment w:val="baseline"/>
        <w:rPr>
          <w:b/>
          <w:color w:val="104F75"/>
          <w:sz w:val="36"/>
        </w:rPr>
      </w:pPr>
      <w:r>
        <w:br w:type="page"/>
      </w:r>
    </w:p>
    <w:p>
      <w:pPr>
        <w:spacing w:after="200" w:line="480" w:lineRule="auto"/>
        <w:jc w:val="center"/>
        <w:rPr>
          <w:b/>
        </w:rPr>
      </w:pPr>
      <w:r>
        <w:rPr>
          <w:b/>
        </w:rPr>
        <w:lastRenderedPageBreak/>
        <w:t>THE COMPANIES ACT 2006</w:t>
      </w:r>
    </w:p>
    <w:p>
      <w:pPr>
        <w:spacing w:after="200" w:line="480" w:lineRule="auto"/>
        <w:jc w:val="center"/>
        <w:rPr>
          <w:b/>
        </w:rPr>
      </w:pPr>
      <w:r>
        <w:rPr>
          <w:b/>
        </w:rPr>
        <w:t>COMPANY LIMITED BY GUARANTEE</w:t>
      </w:r>
    </w:p>
    <w:p>
      <w:pPr>
        <w:spacing w:after="200" w:line="480" w:lineRule="auto"/>
        <w:jc w:val="center"/>
        <w:rPr>
          <w:b/>
        </w:rPr>
      </w:pPr>
      <w:r>
        <w:rPr>
          <w:b/>
        </w:rPr>
        <w:t>ARTICLES OF ASSOCIATION</w:t>
      </w:r>
    </w:p>
    <w:p>
      <w:pPr>
        <w:spacing w:after="200" w:line="480" w:lineRule="auto"/>
        <w:jc w:val="center"/>
        <w:rPr>
          <w:b/>
        </w:rPr>
      </w:pPr>
      <w:r>
        <w:rPr>
          <w:b/>
        </w:rPr>
        <w:t>OF</w:t>
      </w:r>
    </w:p>
    <w:p>
      <w:pPr>
        <w:spacing w:after="200" w:line="480" w:lineRule="auto"/>
        <w:jc w:val="center"/>
        <w:rPr>
          <w:b/>
        </w:rPr>
      </w:pPr>
      <w:bookmarkStart w:id="1" w:name="_Toc442359836"/>
      <w:r>
        <w:rPr>
          <w:b/>
        </w:rPr>
        <w:t>THE INSPIRING CHANGE MULTI-ACADEMY TRUST</w:t>
      </w:r>
    </w:p>
    <w:p>
      <w:pPr>
        <w:spacing w:after="200" w:line="360" w:lineRule="auto"/>
        <w:jc w:val="both"/>
        <w:rPr>
          <w:b/>
          <w:color w:val="auto"/>
        </w:rPr>
      </w:pPr>
      <w:r>
        <w:rPr>
          <w:b/>
          <w:color w:val="auto"/>
        </w:rPr>
        <w:t>INTERPRETATION</w:t>
      </w:r>
      <w:bookmarkEnd w:id="1"/>
    </w:p>
    <w:p>
      <w:pPr>
        <w:pStyle w:val="TextIndent1"/>
        <w:numPr>
          <w:ilvl w:val="0"/>
          <w:numId w:val="16"/>
        </w:numPr>
        <w:spacing w:after="200"/>
        <w:ind w:left="0" w:firstLine="0"/>
        <w:rPr>
          <w:rFonts w:cs="Arial"/>
          <w:szCs w:val="24"/>
        </w:rPr>
      </w:pPr>
      <w:r>
        <w:rPr>
          <w:rFonts w:cs="Arial"/>
          <w:szCs w:val="24"/>
        </w:rPr>
        <w:t>In these Articles:-</w:t>
      </w:r>
    </w:p>
    <w:p>
      <w:pPr>
        <w:pStyle w:val="TextIndent1"/>
        <w:numPr>
          <w:ilvl w:val="0"/>
          <w:numId w:val="17"/>
        </w:numPr>
        <w:spacing w:after="200"/>
        <w:ind w:left="1418" w:hanging="709"/>
        <w:rPr>
          <w:rFonts w:cs="Arial"/>
          <w:szCs w:val="24"/>
        </w:rPr>
      </w:pPr>
      <w:r>
        <w:rPr>
          <w:rFonts w:cs="Arial"/>
          <w:szCs w:val="24"/>
        </w:rPr>
        <w:t>Not used;</w:t>
      </w:r>
    </w:p>
    <w:p>
      <w:pPr>
        <w:pStyle w:val="TextIndent1"/>
        <w:numPr>
          <w:ilvl w:val="0"/>
          <w:numId w:val="17"/>
        </w:numPr>
        <w:spacing w:after="200"/>
        <w:ind w:left="1418" w:hanging="709"/>
      </w:pPr>
      <w:r>
        <w:rPr>
          <w:rFonts w:cs="Arial"/>
          <w:szCs w:val="24"/>
        </w:rPr>
        <w:t xml:space="preserve">“the Academies" means all the schools and educational institutions referred to in Article 4a and operated by the Academy Trust (and “Academy” shall mean any one of those schools or educational institutions </w:t>
      </w:r>
    </w:p>
    <w:p>
      <w:pPr>
        <w:pStyle w:val="TextIndent1"/>
        <w:numPr>
          <w:ilvl w:val="0"/>
          <w:numId w:val="17"/>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year;</w:t>
      </w:r>
    </w:p>
    <w:p>
      <w:pPr>
        <w:pStyle w:val="TextIndent1"/>
        <w:numPr>
          <w:ilvl w:val="0"/>
          <w:numId w:val="17"/>
        </w:numPr>
        <w:spacing w:after="200"/>
        <w:ind w:left="1418" w:hanging="709"/>
        <w:rPr>
          <w:rFonts w:cs="Arial"/>
          <w:szCs w:val="24"/>
        </w:rPr>
      </w:pPr>
      <w:r>
        <w:rPr>
          <w:rFonts w:cs="Arial"/>
          <w:szCs w:val="24"/>
        </w:rPr>
        <w:t>“the Academy Trust” means the company intended to be regulated by these Articles and referred to in Article 2;</w:t>
      </w:r>
    </w:p>
    <w:p>
      <w:pPr>
        <w:pStyle w:val="TextIndent1"/>
        <w:numPr>
          <w:ilvl w:val="0"/>
          <w:numId w:val="17"/>
        </w:numPr>
        <w:spacing w:after="200"/>
        <w:ind w:left="1418" w:hanging="709"/>
        <w:rPr>
          <w:rFonts w:cs="Arial"/>
          <w:szCs w:val="24"/>
        </w:rPr>
      </w:pPr>
      <w:r>
        <w:rPr>
          <w:rFonts w:cs="Arial"/>
          <w:szCs w:val="24"/>
        </w:rPr>
        <w:t>“the Articles”</w:t>
      </w:r>
      <w:r>
        <w:rPr>
          <w:rFonts w:cs="Arial"/>
          <w:szCs w:val="24"/>
        </w:rPr>
        <w:tab/>
        <w:t>means these Articles of Association of the Academy Trust;</w:t>
      </w:r>
    </w:p>
    <w:p>
      <w:pPr>
        <w:pStyle w:val="TextIndent1"/>
        <w:numPr>
          <w:ilvl w:val="0"/>
          <w:numId w:val="17"/>
        </w:numPr>
        <w:spacing w:after="200"/>
        <w:ind w:left="1418" w:hanging="709"/>
      </w:pPr>
      <w:r>
        <w:rPr>
          <w:rFonts w:cs="Arial"/>
          <w:szCs w:val="24"/>
        </w:rPr>
        <w:t>“Chief Executive Officer” means such person as may be appointed by the Trustees as the Chief Executive Officer of the Academy Trust</w:t>
      </w:r>
      <w:r>
        <w:rPr>
          <w:rStyle w:val="FootnoteReference"/>
          <w:rFonts w:cs="Arial"/>
          <w:szCs w:val="24"/>
        </w:rPr>
        <w:footnoteReference w:id="2"/>
      </w:r>
      <w:r>
        <w:rPr>
          <w:rFonts w:cs="Arial"/>
          <w:szCs w:val="24"/>
        </w:rPr>
        <w:t>;</w:t>
      </w:r>
    </w:p>
    <w:p>
      <w:pPr>
        <w:pStyle w:val="TextIndent1"/>
        <w:numPr>
          <w:ilvl w:val="0"/>
          <w:numId w:val="17"/>
        </w:numPr>
        <w:spacing w:after="200"/>
        <w:ind w:left="1418" w:hanging="709"/>
        <w:rPr>
          <w:rFonts w:cs="Arial"/>
          <w:szCs w:val="24"/>
        </w:rPr>
      </w:pPr>
      <w:r>
        <w:rPr>
          <w:rFonts w:cs="Arial"/>
          <w:szCs w:val="24"/>
        </w:rPr>
        <w:t>Not used;</w:t>
      </w:r>
    </w:p>
    <w:p>
      <w:pPr>
        <w:pStyle w:val="TextIndent1"/>
        <w:numPr>
          <w:ilvl w:val="0"/>
          <w:numId w:val="17"/>
        </w:numPr>
        <w:spacing w:after="200"/>
        <w:ind w:left="1418" w:hanging="709"/>
        <w:rPr>
          <w:rFonts w:cs="Arial"/>
          <w:szCs w:val="24"/>
        </w:rPr>
      </w:pPr>
      <w:r>
        <w:rPr>
          <w:rFonts w:cs="Arial"/>
          <w:szCs w:val="24"/>
        </w:rPr>
        <w:t>“clear days” in relation to the period of a notice means the period excluding the day when the notice is given or deemed to be given and the day on which it is given or on which it is to take effect;</w:t>
      </w:r>
    </w:p>
    <w:p>
      <w:pPr>
        <w:pStyle w:val="TextIndent1"/>
        <w:numPr>
          <w:ilvl w:val="0"/>
          <w:numId w:val="17"/>
        </w:numPr>
        <w:spacing w:after="200"/>
        <w:ind w:left="1418" w:hanging="709"/>
        <w:rPr>
          <w:rFonts w:cs="Arial"/>
          <w:szCs w:val="24"/>
        </w:rPr>
      </w:pPr>
      <w:r>
        <w:rPr>
          <w:rFonts w:cs="Arial"/>
          <w:szCs w:val="24"/>
        </w:rPr>
        <w:lastRenderedPageBreak/>
        <w:t>“Clerk”</w:t>
      </w:r>
      <w:r>
        <w:rPr>
          <w:rFonts w:cs="Arial"/>
          <w:szCs w:val="24"/>
        </w:rPr>
        <w:tab/>
        <w:t>means the clerk to the Trustees or any other person appointed to perform the duties of the clerk to the Trustees, including a joint, assistant or deputy clerk;</w:t>
      </w:r>
    </w:p>
    <w:p>
      <w:pPr>
        <w:pStyle w:val="TextIndent1"/>
        <w:numPr>
          <w:ilvl w:val="0"/>
          <w:numId w:val="17"/>
        </w:numPr>
        <w:spacing w:after="200"/>
        <w:ind w:left="1418" w:hanging="709"/>
        <w:rPr>
          <w:rFonts w:cs="Arial"/>
          <w:szCs w:val="24"/>
        </w:rPr>
      </w:pPr>
      <w:r>
        <w:rPr>
          <w:rFonts w:cs="Arial"/>
          <w:szCs w:val="24"/>
        </w:rPr>
        <w:t>“financial expert” means an individual, company or firm who is  authorised to give investment advice under the Financial Services and Markets Act 2000;</w:t>
      </w:r>
    </w:p>
    <w:p>
      <w:pPr>
        <w:pStyle w:val="TextIndent1"/>
        <w:numPr>
          <w:ilvl w:val="0"/>
          <w:numId w:val="17"/>
        </w:numPr>
        <w:spacing w:after="200"/>
        <w:ind w:left="1418" w:hanging="709"/>
      </w:pPr>
      <w:r>
        <w:t>Not used;</w:t>
      </w:r>
    </w:p>
    <w:p>
      <w:pPr>
        <w:pStyle w:val="TextIndent1"/>
        <w:numPr>
          <w:ilvl w:val="0"/>
          <w:numId w:val="17"/>
        </w:numPr>
        <w:spacing w:after="200"/>
        <w:ind w:left="1418" w:hanging="709"/>
      </w:pPr>
      <w:r>
        <w:rPr>
          <w:rFonts w:cs="Arial"/>
          <w:szCs w:val="24"/>
        </w:rPr>
        <w:t>Not used;</w:t>
      </w:r>
    </w:p>
    <w:p>
      <w:pPr>
        <w:pStyle w:val="TextIndent1"/>
        <w:numPr>
          <w:ilvl w:val="0"/>
          <w:numId w:val="17"/>
        </w:numPr>
        <w:spacing w:after="200"/>
        <w:ind w:left="1418" w:hanging="709"/>
        <w:rPr>
          <w:rFonts w:cs="Arial"/>
          <w:szCs w:val="24"/>
        </w:rPr>
      </w:pPr>
      <w:r>
        <w:rPr>
          <w:rFonts w:cs="Arial"/>
          <w:szCs w:val="24"/>
        </w:rPr>
        <w:t>“Local Authority Associated Person” means any person associated (within the meaning given in section 69(5) of the Local Government and Housing Act 1989) with any local authority by which the Academy Trust is influenced;</w:t>
      </w:r>
    </w:p>
    <w:p>
      <w:pPr>
        <w:pStyle w:val="TextIndent1"/>
        <w:numPr>
          <w:ilvl w:val="0"/>
          <w:numId w:val="17"/>
        </w:numPr>
        <w:spacing w:after="200"/>
        <w:ind w:left="1418" w:hanging="709"/>
      </w:pPr>
      <w:r>
        <w:rPr>
          <w:rFonts w:cs="Arial"/>
          <w:szCs w:val="24"/>
        </w:rPr>
        <w:t>“Local Governing Bodies” means the committees appointed pursuant to Articles 100-101A and 104 (and “Local Governing Body” means any one of these committees);</w:t>
      </w:r>
    </w:p>
    <w:p>
      <w:pPr>
        <w:pStyle w:val="TextIndent1"/>
        <w:numPr>
          <w:ilvl w:val="0"/>
          <w:numId w:val="17"/>
        </w:numPr>
        <w:spacing w:after="200"/>
        <w:ind w:left="1418" w:hanging="709"/>
        <w:rPr>
          <w:rFonts w:cs="Arial"/>
          <w:szCs w:val="24"/>
        </w:rPr>
      </w:pPr>
      <w:r>
        <w:rPr>
          <w:rFonts w:cs="Arial"/>
          <w:szCs w:val="24"/>
        </w:rPr>
        <w:t>“Member” means a member of the Academy Trust and someone who as such is bound by the undertaking contained in Article 8;</w:t>
      </w:r>
    </w:p>
    <w:p>
      <w:pPr>
        <w:pStyle w:val="TextIndent1"/>
        <w:numPr>
          <w:ilvl w:val="0"/>
          <w:numId w:val="17"/>
        </w:numPr>
        <w:spacing w:after="200"/>
        <w:ind w:left="1418" w:hanging="709"/>
        <w:rPr>
          <w:rFonts w:cs="Arial"/>
          <w:szCs w:val="24"/>
        </w:rPr>
      </w:pPr>
      <w:r>
        <w:rPr>
          <w:rFonts w:cs="Arial"/>
          <w:szCs w:val="24"/>
        </w:rPr>
        <w:t>“the Memorandum” means the Memorandum of Association of the Academy Trust;</w:t>
      </w:r>
    </w:p>
    <w:p>
      <w:pPr>
        <w:pStyle w:val="TextIndent1"/>
        <w:numPr>
          <w:ilvl w:val="0"/>
          <w:numId w:val="17"/>
        </w:numPr>
        <w:spacing w:after="200"/>
        <w:ind w:left="1418" w:hanging="709"/>
        <w:rPr>
          <w:rFonts w:cs="Arial"/>
          <w:szCs w:val="24"/>
        </w:rPr>
      </w:pPr>
      <w:r>
        <w:rPr>
          <w:rFonts w:cs="Arial"/>
          <w:szCs w:val="24"/>
        </w:rPr>
        <w:t>“Office” means the registered office of the Academy Trust;</w:t>
      </w:r>
    </w:p>
    <w:p>
      <w:pPr>
        <w:pStyle w:val="TextIndent1"/>
        <w:numPr>
          <w:ilvl w:val="0"/>
          <w:numId w:val="17"/>
        </w:numPr>
        <w:spacing w:after="200"/>
        <w:ind w:left="1418" w:hanging="709"/>
      </w:pPr>
      <w:r>
        <w:rPr>
          <w:rFonts w:cs="Arial"/>
          <w:szCs w:val="24"/>
        </w:rPr>
        <w:t>“Parent Local Governor” means the parent member of a Local Governing Body elected or appointed in accordance with Articles 54-56;</w:t>
      </w:r>
    </w:p>
    <w:p>
      <w:pPr>
        <w:pStyle w:val="TextIndent1"/>
        <w:numPr>
          <w:ilvl w:val="0"/>
          <w:numId w:val="17"/>
        </w:numPr>
        <w:spacing w:after="200"/>
        <w:ind w:left="1418" w:hanging="709"/>
        <w:rPr>
          <w:rFonts w:cs="Arial"/>
          <w:szCs w:val="24"/>
        </w:rPr>
      </w:pPr>
      <w:r>
        <w:rPr>
          <w:rFonts w:cs="Arial"/>
          <w:szCs w:val="24"/>
        </w:rPr>
        <w:t>“Parent Trustees” means the Trustees elected or appointed pursuant to Articles 53 – 56 inclusive;</w:t>
      </w:r>
    </w:p>
    <w:p>
      <w:pPr>
        <w:pStyle w:val="TextIndent1"/>
        <w:numPr>
          <w:ilvl w:val="0"/>
          <w:numId w:val="17"/>
        </w:numPr>
        <w:spacing w:after="200"/>
        <w:ind w:left="1418" w:hanging="709"/>
      </w:pPr>
      <w:r>
        <w:rPr>
          <w:rFonts w:cs="Arial"/>
          <w:szCs w:val="24"/>
        </w:rPr>
        <w:t>“Principals" means the head teachers of the Academies (and “Principal” means any one of these head teachers);</w:t>
      </w:r>
    </w:p>
    <w:p>
      <w:pPr>
        <w:pStyle w:val="TextIndent1"/>
        <w:numPr>
          <w:ilvl w:val="0"/>
          <w:numId w:val="17"/>
        </w:numPr>
        <w:spacing w:after="200"/>
        <w:ind w:left="1418" w:hanging="709"/>
        <w:rPr>
          <w:rFonts w:cs="Arial"/>
          <w:szCs w:val="24"/>
        </w:rPr>
      </w:pPr>
      <w:r>
        <w:rPr>
          <w:rFonts w:cs="Arial"/>
          <w:szCs w:val="24"/>
        </w:rPr>
        <w:t>“Principal Regulator” means the body or person appointed as the Principal Regulator under the Charities Act 2011;</w:t>
      </w:r>
    </w:p>
    <w:p>
      <w:pPr>
        <w:pStyle w:val="TextIndent1"/>
        <w:numPr>
          <w:ilvl w:val="0"/>
          <w:numId w:val="17"/>
        </w:numPr>
        <w:spacing w:after="200"/>
        <w:ind w:left="1418" w:hanging="709"/>
      </w:pPr>
      <w:r>
        <w:rPr>
          <w:rFonts w:cs="Arial"/>
          <w:szCs w:val="24"/>
        </w:rPr>
        <w:lastRenderedPageBreak/>
        <w:t>Not used;</w:t>
      </w:r>
    </w:p>
    <w:p>
      <w:pPr>
        <w:pStyle w:val="TextIndent1"/>
        <w:numPr>
          <w:ilvl w:val="0"/>
          <w:numId w:val="17"/>
        </w:numPr>
        <w:spacing w:after="200"/>
        <w:ind w:left="1418" w:hanging="709"/>
        <w:rPr>
          <w:rFonts w:cs="Arial"/>
          <w:szCs w:val="24"/>
        </w:rPr>
      </w:pPr>
      <w:r>
        <w:rPr>
          <w:rFonts w:cs="Arial"/>
          <w:szCs w:val="24"/>
        </w:rPr>
        <w:t>“the seal” means the common seal of the Academy Trust if it has one;</w:t>
      </w:r>
    </w:p>
    <w:p>
      <w:pPr>
        <w:pStyle w:val="TextIndent1"/>
        <w:numPr>
          <w:ilvl w:val="0"/>
          <w:numId w:val="17"/>
        </w:numPr>
        <w:spacing w:after="200"/>
        <w:ind w:left="1418" w:hanging="709"/>
        <w:rPr>
          <w:rFonts w:cs="Arial"/>
          <w:szCs w:val="24"/>
        </w:rPr>
      </w:pPr>
      <w:r>
        <w:rPr>
          <w:rFonts w:cs="Arial"/>
          <w:szCs w:val="24"/>
        </w:rPr>
        <w:t>“Secretary of State” means the Secretary of State for Education or successor;</w:t>
      </w:r>
    </w:p>
    <w:p>
      <w:pPr>
        <w:pStyle w:val="TextIndent1"/>
        <w:numPr>
          <w:ilvl w:val="0"/>
          <w:numId w:val="17"/>
        </w:numPr>
        <w:spacing w:after="200"/>
        <w:ind w:left="1418" w:hanging="709"/>
        <w:rPr>
          <w:rFonts w:cs="Arial"/>
          <w:szCs w:val="24"/>
        </w:rPr>
      </w:pPr>
      <w:r>
        <w:rPr>
          <w:rFonts w:cs="Arial"/>
          <w:szCs w:val="24"/>
        </w:rPr>
        <w:t>“Special Educational Needs” has the meaning set out in sections 20(1) and 21(2) of the Children and Families Act 2014;</w:t>
      </w:r>
    </w:p>
    <w:p>
      <w:pPr>
        <w:pStyle w:val="TextIndent1"/>
        <w:numPr>
          <w:ilvl w:val="0"/>
          <w:numId w:val="17"/>
        </w:numPr>
        <w:spacing w:after="200"/>
        <w:ind w:left="1418" w:hanging="709"/>
        <w:rPr>
          <w:rFonts w:cs="Arial"/>
          <w:szCs w:val="24"/>
        </w:rPr>
      </w:pPr>
      <w:r>
        <w:rPr>
          <w:rFonts w:cs="Arial"/>
          <w:szCs w:val="24"/>
        </w:rPr>
        <w:t>Not used;</w:t>
      </w:r>
    </w:p>
    <w:p>
      <w:pPr>
        <w:pStyle w:val="TextIndent1"/>
        <w:numPr>
          <w:ilvl w:val="0"/>
          <w:numId w:val="17"/>
        </w:numPr>
        <w:spacing w:after="200"/>
        <w:ind w:left="1418" w:hanging="709"/>
      </w:pPr>
      <w:r>
        <w:rPr>
          <w:rFonts w:cs="Arial"/>
          <w:szCs w:val="24"/>
        </w:rPr>
        <w:t>“teacher” means a person employed under a contract of employment or a contract for services or otherwise engaged to provide his services as a teacher at one or more Academies;</w:t>
      </w:r>
    </w:p>
    <w:p>
      <w:pPr>
        <w:pStyle w:val="TextIndent1"/>
        <w:numPr>
          <w:ilvl w:val="0"/>
          <w:numId w:val="17"/>
        </w:numPr>
        <w:spacing w:after="200"/>
        <w:ind w:left="1418" w:hanging="709"/>
      </w:pPr>
      <w:r>
        <w:rPr>
          <w:rFonts w:cs="Arial"/>
          <w:szCs w:val="24"/>
        </w:rPr>
        <w:t>“the Trustees” means the directors of the Academy Trust (and “Trustee” means any one of those directors), subject to the definition of this term at Article 6.9 (e) in relation to Articles 6.2-6.9</w:t>
      </w:r>
      <w:r>
        <w:rPr>
          <w:rStyle w:val="FootnoteReference"/>
          <w:rFonts w:cs="Arial"/>
          <w:szCs w:val="24"/>
        </w:rPr>
        <w:footnoteReference w:id="3"/>
      </w:r>
      <w:r>
        <w:rPr>
          <w:rFonts w:cs="Arial"/>
          <w:szCs w:val="24"/>
        </w:rPr>
        <w:t>;</w:t>
      </w:r>
    </w:p>
    <w:p>
      <w:pPr>
        <w:pStyle w:val="TextIndent1"/>
        <w:numPr>
          <w:ilvl w:val="0"/>
          <w:numId w:val="17"/>
        </w:numPr>
        <w:spacing w:after="200"/>
        <w:ind w:left="1418" w:hanging="709"/>
        <w:rPr>
          <w:rFonts w:cs="Arial"/>
          <w:szCs w:val="24"/>
        </w:rPr>
      </w:pPr>
      <w:r>
        <w:rPr>
          <w:rFonts w:cs="Arial"/>
          <w:szCs w:val="24"/>
        </w:rPr>
        <w:t>“the United Kingdom” means Great Britain and Northern Ireland;</w:t>
      </w:r>
    </w:p>
    <w:p>
      <w:pPr>
        <w:pStyle w:val="Numbered"/>
        <w:numPr>
          <w:ilvl w:val="0"/>
          <w:numId w:val="17"/>
        </w:numPr>
        <w:spacing w:after="200" w:line="360" w:lineRule="auto"/>
        <w:ind w:left="1418" w:hanging="709"/>
        <w:rPr>
          <w:rFonts w:cs="Arial"/>
          <w:szCs w:val="24"/>
        </w:rPr>
      </w:pPr>
      <w:proofErr w:type="gramStart"/>
      <w:r>
        <w:rPr>
          <w:rFonts w:cs="Arial"/>
          <w:szCs w:val="24"/>
        </w:rPr>
        <w:t>words</w:t>
      </w:r>
      <w:proofErr w:type="gramEnd"/>
      <w:r>
        <w:rPr>
          <w:rFonts w:cs="Arial"/>
          <w:szCs w:val="24"/>
        </w:rPr>
        <w:t xml:space="preserve"> importing the masculine gender only shall include the feminine gender.  Words importing the singular number shall include the plural number, and vice versa;</w:t>
      </w:r>
    </w:p>
    <w:p>
      <w:pPr>
        <w:pStyle w:val="Numbered"/>
        <w:numPr>
          <w:ilvl w:val="0"/>
          <w:numId w:val="17"/>
        </w:numPr>
        <w:spacing w:after="200" w:line="360" w:lineRule="auto"/>
        <w:ind w:left="1418" w:hanging="709"/>
        <w:rPr>
          <w:rFonts w:cs="Arial"/>
          <w:szCs w:val="24"/>
        </w:rPr>
      </w:pPr>
      <w:r>
        <w:rPr>
          <w:rFonts w:cs="Arial"/>
          <w:szCs w:val="24"/>
        </w:rPr>
        <w:t>subject as aforesaid, words or expressions contained in these Articles shall, unless the context requires otherwise, bear the same meaning as in the Companies Act 2006, as appropriate;</w:t>
      </w:r>
    </w:p>
    <w:p>
      <w:pPr>
        <w:pStyle w:val="Numbered"/>
        <w:numPr>
          <w:ilvl w:val="0"/>
          <w:numId w:val="17"/>
        </w:numPr>
        <w:spacing w:after="200" w:line="360" w:lineRule="auto"/>
        <w:ind w:left="1418" w:hanging="709"/>
        <w:rPr>
          <w:rFonts w:cs="Arial"/>
          <w:szCs w:val="24"/>
        </w:rPr>
      </w:pPr>
      <w:proofErr w:type="gramStart"/>
      <w:r>
        <w:rPr>
          <w:rFonts w:cs="Arial"/>
          <w:szCs w:val="24"/>
        </w:rPr>
        <w:t>any</w:t>
      </w:r>
      <w:proofErr w:type="gramEnd"/>
      <w:r>
        <w:rPr>
          <w:rFonts w:cs="Arial"/>
          <w:szCs w:val="24"/>
        </w:rPr>
        <w:t xml:space="preserve"> reference to a statute or statutory provision shall include any statute or statutory provision which replaces or supersedes such statute or statutory provision including any modification or amendment thereto.</w:t>
      </w:r>
    </w:p>
    <w:p>
      <w:pPr>
        <w:pStyle w:val="Numbered"/>
        <w:keepNext/>
        <w:keepLines/>
        <w:widowControl/>
        <w:numPr>
          <w:ilvl w:val="0"/>
          <w:numId w:val="16"/>
        </w:numPr>
        <w:overflowPunct/>
        <w:autoSpaceDE/>
        <w:autoSpaceDN w:val="0"/>
        <w:spacing w:after="200" w:line="360" w:lineRule="auto"/>
        <w:ind w:left="709" w:hanging="709"/>
      </w:pPr>
      <w:r>
        <w:rPr>
          <w:rFonts w:cs="Arial"/>
          <w:szCs w:val="24"/>
        </w:rPr>
        <w:t>The company's name is The Inspiring Change Multi-Academy Trust (and in this document it is called “</w:t>
      </w:r>
      <w:r>
        <w:rPr>
          <w:rFonts w:cs="Arial"/>
          <w:b/>
          <w:szCs w:val="24"/>
        </w:rPr>
        <w:t>the Academy Trust</w:t>
      </w:r>
      <w:r>
        <w:rPr>
          <w:rFonts w:cs="Arial"/>
          <w:szCs w:val="24"/>
        </w:rPr>
        <w:t>”).</w:t>
      </w:r>
    </w:p>
    <w:p>
      <w:pPr>
        <w:pStyle w:val="Numbered"/>
        <w:keepNext/>
        <w:keepLines/>
        <w:widowControl/>
        <w:numPr>
          <w:ilvl w:val="0"/>
          <w:numId w:val="16"/>
        </w:numPr>
        <w:overflowPunct/>
        <w:autoSpaceDE/>
        <w:autoSpaceDN w:val="0"/>
        <w:spacing w:after="200" w:line="360" w:lineRule="auto"/>
        <w:ind w:left="0" w:firstLine="0"/>
      </w:pPr>
      <w:r>
        <w:rPr>
          <w:rFonts w:cs="Arial"/>
          <w:szCs w:val="24"/>
        </w:rPr>
        <w:t>The Academy Trust’s registered office is to be situated in England and Wales.</w:t>
      </w:r>
      <w:bookmarkStart w:id="2" w:name="_Toc442359837"/>
    </w:p>
    <w:p>
      <w:pPr>
        <w:pStyle w:val="Numbered"/>
        <w:keepNext/>
        <w:keepLines/>
        <w:widowControl/>
        <w:overflowPunct/>
        <w:autoSpaceDE/>
        <w:autoSpaceDN w:val="0"/>
        <w:spacing w:after="200" w:line="360" w:lineRule="auto"/>
        <w:rPr>
          <w:b/>
        </w:rPr>
      </w:pPr>
      <w:r>
        <w:rPr>
          <w:b/>
        </w:rPr>
        <w:t>OBJECT</w:t>
      </w:r>
      <w:bookmarkEnd w:id="2"/>
      <w:r>
        <w:rPr>
          <w:b/>
        </w:rPr>
        <w:t>S</w:t>
      </w:r>
    </w:p>
    <w:p>
      <w:pPr>
        <w:pStyle w:val="Numbered"/>
        <w:numPr>
          <w:ilvl w:val="0"/>
          <w:numId w:val="16"/>
        </w:numPr>
        <w:overflowPunct/>
        <w:autoSpaceDE/>
        <w:autoSpaceDN w:val="0"/>
        <w:spacing w:after="200" w:line="360" w:lineRule="auto"/>
        <w:ind w:left="709" w:hanging="709"/>
      </w:pPr>
      <w:r>
        <w:rPr>
          <w:rFonts w:cs="Arial"/>
          <w:szCs w:val="24"/>
        </w:rPr>
        <w:t>The Academy Trust’s objects (“</w:t>
      </w:r>
      <w:r>
        <w:rPr>
          <w:rFonts w:cs="Arial"/>
          <w:b/>
          <w:szCs w:val="24"/>
        </w:rPr>
        <w:t>the Objects</w:t>
      </w:r>
      <w:r>
        <w:rPr>
          <w:rFonts w:cs="Arial"/>
          <w:szCs w:val="24"/>
        </w:rPr>
        <w:t>”) are specifically restricted to the following:</w:t>
      </w:r>
    </w:p>
    <w:p>
      <w:pPr>
        <w:pStyle w:val="Numbered"/>
        <w:overflowPunct/>
        <w:autoSpaceDE/>
        <w:autoSpaceDN w:val="0"/>
        <w:spacing w:after="200" w:line="360" w:lineRule="auto"/>
        <w:ind w:left="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Pr>
          <w:rFonts w:cs="Arial"/>
          <w:b/>
          <w:szCs w:val="24"/>
        </w:rPr>
        <w:t>the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 xml:space="preserve">schools </w:t>
      </w:r>
      <w:r>
        <w:rPr>
          <w:szCs w:val="24"/>
        </w:rPr>
        <w:t xml:space="preserve"> specially organised to make special educational provision for pupils with Special Educational Needs (“the </w:t>
      </w:r>
      <w:r>
        <w:rPr>
          <w:b/>
          <w:szCs w:val="24"/>
        </w:rPr>
        <w:t>Special Academies</w:t>
      </w:r>
      <w:r>
        <w:rPr>
          <w:szCs w:val="24"/>
        </w:rPr>
        <w:t>”)</w:t>
      </w:r>
    </w:p>
    <w:p>
      <w:pPr>
        <w:pStyle w:val="Numbered"/>
        <w:numPr>
          <w:ilvl w:val="0"/>
          <w:numId w:val="16"/>
        </w:numPr>
        <w:overflowPunct/>
        <w:autoSpaceDE/>
        <w:autoSpaceDN w:val="0"/>
        <w:spacing w:after="200" w:line="360" w:lineRule="auto"/>
        <w:ind w:left="709" w:hanging="709"/>
        <w:rPr>
          <w:rFonts w:cs="Arial"/>
          <w:szCs w:val="24"/>
        </w:rPr>
      </w:pPr>
      <w:r>
        <w:rPr>
          <w:rFonts w:cs="Arial"/>
          <w:szCs w:val="24"/>
        </w:rPr>
        <w:t>In furtherance of the Objects but not further or otherwise the Academy Trust may exercise the following powers:</w:t>
      </w:r>
    </w:p>
    <w:p>
      <w:pPr>
        <w:pStyle w:val="Numbered"/>
        <w:numPr>
          <w:ilvl w:val="0"/>
          <w:numId w:val="19"/>
        </w:numPr>
        <w:overflowPunct/>
        <w:autoSpaceDE/>
        <w:autoSpaceDN w:val="0"/>
        <w:spacing w:after="200" w:line="360" w:lineRule="auto"/>
        <w:ind w:hanging="716"/>
        <w:rPr>
          <w:rFonts w:cs="Arial"/>
          <w:szCs w:val="24"/>
        </w:rPr>
      </w:pPr>
      <w:r>
        <w:rPr>
          <w:rFonts w:cs="Arial"/>
          <w:szCs w:val="24"/>
        </w:rPr>
        <w:t>to draw, make, accept, endorse, discount, execute and issue promissory notes, bills, cheques and other instruments, and to operate bank accounts in the name of the Academy Trust;</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acquire, alter, improve and (subject to such consents as may be required by law) to charge or otherwise dispose of property;</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subject to Articles 6.6-6.8 below to employ such staff, as are necessary for the proper pursuit of the Objects and to make all reasonable and necessary provision for the payments of pensions and superannuation to staff and their dependants;</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establish or support, whether financially or otherwise, any charitable companies, trusts, associations or institutions formed for all or any of the Objects;</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pay out of funds of the Academy Trust the costs, charges and expenses of and incidental to the formation and registration of the Academy Trust;</w:t>
      </w:r>
    </w:p>
    <w:p>
      <w:pPr>
        <w:pStyle w:val="Numbered"/>
        <w:numPr>
          <w:ilvl w:val="0"/>
          <w:numId w:val="19"/>
        </w:numPr>
        <w:tabs>
          <w:tab w:val="left" w:pos="-3555"/>
        </w:tabs>
        <w:overflowPunct/>
        <w:autoSpaceDE/>
        <w:autoSpaceDN w:val="0"/>
        <w:spacing w:after="200" w:line="360" w:lineRule="auto"/>
        <w:ind w:hanging="716"/>
      </w:pPr>
      <w:r>
        <w:rPr>
          <w:rFonts w:cs="Arial"/>
          <w:szCs w:val="24"/>
        </w:rPr>
        <w:t>to establish, maintain, carry on, manage and develop the Academies at locations to be determined by the Trustees;</w:t>
      </w:r>
    </w:p>
    <w:p>
      <w:pPr>
        <w:pStyle w:val="Numbered"/>
        <w:numPr>
          <w:ilvl w:val="0"/>
          <w:numId w:val="19"/>
        </w:numPr>
        <w:tabs>
          <w:tab w:val="left" w:pos="-3555"/>
        </w:tabs>
        <w:overflowPunct/>
        <w:autoSpaceDE/>
        <w:autoSpaceDN w:val="0"/>
        <w:spacing w:after="200" w:line="360" w:lineRule="auto"/>
        <w:ind w:hanging="716"/>
      </w:pPr>
      <w:r>
        <w:rPr>
          <w:rFonts w:cs="Arial"/>
          <w:szCs w:val="24"/>
        </w:rPr>
        <w:t>to offer scholarships, exhibitions, prizes and awards to pupils and students former pupils and former students, and otherwise to encourage and assist the educational attainment of pupils and students and former pupils and former students;</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provide educational facilities and services to students of all ages and the wider community for the public benefit;</w:t>
      </w:r>
    </w:p>
    <w:p>
      <w:pPr>
        <w:pStyle w:val="Numbered"/>
        <w:numPr>
          <w:ilvl w:val="0"/>
          <w:numId w:val="19"/>
        </w:numPr>
        <w:tabs>
          <w:tab w:val="left" w:pos="-3555"/>
        </w:tabs>
        <w:overflowPunct/>
        <w:autoSpaceDE/>
        <w:autoSpaceDN w:val="0"/>
        <w:spacing w:after="200" w:line="360" w:lineRule="auto"/>
        <w:ind w:hanging="716"/>
        <w:rPr>
          <w:rFonts w:cs="Arial"/>
          <w:szCs w:val="24"/>
        </w:rPr>
      </w:pPr>
      <w:r>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pPr>
        <w:pStyle w:val="Numbered"/>
        <w:numPr>
          <w:ilvl w:val="0"/>
          <w:numId w:val="19"/>
        </w:numPr>
        <w:overflowPunct/>
        <w:autoSpaceDE/>
        <w:autoSpaceDN w:val="0"/>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to borrow and raise money for the furtherance of the Objects in such manner and on such security as the Academy Trust may think fit;</w:t>
      </w:r>
    </w:p>
    <w:p>
      <w:pPr>
        <w:pStyle w:val="Numbered"/>
        <w:numPr>
          <w:ilvl w:val="0"/>
          <w:numId w:val="19"/>
        </w:numPr>
        <w:overflowPunct/>
        <w:autoSpaceDE/>
        <w:autoSpaceDN w:val="0"/>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pPr>
        <w:pStyle w:val="Numbered"/>
        <w:numPr>
          <w:ilvl w:val="0"/>
          <w:numId w:val="19"/>
        </w:numPr>
        <w:overflowPunct/>
        <w:autoSpaceDE/>
        <w:autoSpaceDN w:val="0"/>
        <w:spacing w:after="200" w:line="360" w:lineRule="auto"/>
        <w:ind w:hanging="716"/>
        <w:rPr>
          <w:rFonts w:cs="Arial"/>
          <w:szCs w:val="24"/>
        </w:rPr>
      </w:pPr>
      <w:r>
        <w:rPr>
          <w:rFonts w:cs="Arial"/>
          <w:szCs w:val="24"/>
        </w:rPr>
        <w:t>to delegate the management of investments to a financial expert, but only on terms that:</w:t>
      </w:r>
    </w:p>
    <w:p>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is set down in writing for the financial expert by the Trustees;</w:t>
      </w:r>
    </w:p>
    <w:p>
      <w:pPr>
        <w:pStyle w:val="List4"/>
        <w:numPr>
          <w:ilvl w:val="0"/>
          <w:numId w:val="20"/>
        </w:numPr>
        <w:spacing w:after="200" w:line="360" w:lineRule="auto"/>
        <w:ind w:left="1985" w:hanging="567"/>
        <w:rPr>
          <w:rFonts w:cs="Arial"/>
          <w:szCs w:val="24"/>
          <w:lang w:eastAsia="en-GB"/>
        </w:rPr>
      </w:pPr>
      <w:r>
        <w:rPr>
          <w:rFonts w:cs="Arial"/>
          <w:szCs w:val="24"/>
          <w:lang w:eastAsia="en-GB"/>
        </w:rPr>
        <w:t>every transaction is reported promptly to the Trustees;</w:t>
      </w:r>
    </w:p>
    <w:p>
      <w:pPr>
        <w:pStyle w:val="List4"/>
        <w:numPr>
          <w:ilvl w:val="0"/>
          <w:numId w:val="20"/>
        </w:numPr>
        <w:spacing w:after="200" w:line="360" w:lineRule="auto"/>
        <w:ind w:left="1985" w:hanging="567"/>
        <w:rPr>
          <w:rFonts w:cs="Arial"/>
          <w:szCs w:val="24"/>
          <w:lang w:eastAsia="en-GB"/>
        </w:rPr>
      </w:pPr>
      <w:r>
        <w:rPr>
          <w:rFonts w:cs="Arial"/>
          <w:szCs w:val="24"/>
          <w:lang w:eastAsia="en-GB"/>
        </w:rPr>
        <w:t>the performance of the investments is reviewed regularly with the Trustees;</w:t>
      </w:r>
    </w:p>
    <w:p>
      <w:pPr>
        <w:pStyle w:val="List4"/>
        <w:numPr>
          <w:ilvl w:val="0"/>
          <w:numId w:val="20"/>
        </w:numPr>
        <w:spacing w:after="200" w:line="360" w:lineRule="auto"/>
        <w:ind w:left="1985" w:hanging="567"/>
        <w:rPr>
          <w:rFonts w:cs="Arial"/>
          <w:szCs w:val="24"/>
          <w:lang w:eastAsia="en-GB"/>
        </w:rPr>
      </w:pPr>
      <w:r>
        <w:rPr>
          <w:rFonts w:cs="Arial"/>
          <w:szCs w:val="24"/>
          <w:lang w:eastAsia="en-GB"/>
        </w:rPr>
        <w:t>the Trustees are entitled to cancel the delegation arrangement at any time;</w:t>
      </w:r>
    </w:p>
    <w:p>
      <w:pPr>
        <w:pStyle w:val="List4"/>
        <w:numPr>
          <w:ilvl w:val="0"/>
          <w:numId w:val="20"/>
        </w:numPr>
        <w:spacing w:after="200" w:line="360" w:lineRule="auto"/>
        <w:ind w:left="1985" w:hanging="567"/>
        <w:rPr>
          <w:rFonts w:cs="Arial"/>
          <w:szCs w:val="24"/>
          <w:lang w:eastAsia="en-GB"/>
        </w:rPr>
      </w:pPr>
      <w:r>
        <w:rPr>
          <w:rFonts w:cs="Arial"/>
          <w:szCs w:val="24"/>
          <w:lang w:eastAsia="en-GB"/>
        </w:rPr>
        <w:t>the investment policy and the delegation arrangement are reviewed at least once a year;</w:t>
      </w:r>
    </w:p>
    <w:p>
      <w:pPr>
        <w:pStyle w:val="List4"/>
        <w:numPr>
          <w:ilvl w:val="0"/>
          <w:numId w:val="20"/>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pPr>
        <w:pStyle w:val="List4"/>
        <w:numPr>
          <w:ilvl w:val="0"/>
          <w:numId w:val="20"/>
        </w:numPr>
        <w:spacing w:after="200" w:line="360" w:lineRule="auto"/>
        <w:ind w:left="1985" w:hanging="567"/>
        <w:rPr>
          <w:rFonts w:cs="Arial"/>
          <w:szCs w:val="24"/>
          <w:lang w:eastAsia="en-GB"/>
        </w:rPr>
      </w:pPr>
      <w:r>
        <w:rPr>
          <w:rFonts w:cs="Arial"/>
          <w:szCs w:val="24"/>
          <w:lang w:eastAsia="en-GB"/>
        </w:rPr>
        <w:t>the financial expert must not do anything outside the powers of the Trustees;</w:t>
      </w:r>
    </w:p>
    <w:p>
      <w:pPr>
        <w:pStyle w:val="Numbered"/>
        <w:numPr>
          <w:ilvl w:val="0"/>
          <w:numId w:val="21"/>
        </w:numPr>
        <w:overflowPunct/>
        <w:autoSpaceDE/>
        <w:autoSpaceDN w:val="0"/>
        <w:spacing w:after="200" w:line="360" w:lineRule="auto"/>
        <w:ind w:left="1418" w:hanging="709"/>
        <w:rPr>
          <w:rFonts w:cs="Arial"/>
          <w:szCs w:val="24"/>
        </w:rPr>
      </w:pPr>
      <w:r>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pPr>
        <w:pStyle w:val="Numbered"/>
        <w:overflowPunct/>
        <w:autoSpaceDE/>
        <w:autoSpaceDN w:val="0"/>
        <w:spacing w:after="200" w:line="360" w:lineRule="auto"/>
        <w:ind w:left="1418"/>
        <w:rPr>
          <w:rFonts w:cs="Arial"/>
          <w:szCs w:val="24"/>
        </w:rPr>
      </w:pPr>
    </w:p>
    <w:p>
      <w:pPr>
        <w:pStyle w:val="Numbered"/>
        <w:numPr>
          <w:ilvl w:val="0"/>
          <w:numId w:val="21"/>
        </w:numPr>
        <w:overflowPunct/>
        <w:autoSpaceDE/>
        <w:autoSpaceDN w:val="0"/>
        <w:spacing w:after="200" w:line="360" w:lineRule="auto"/>
        <w:ind w:left="1418" w:hanging="709"/>
        <w:rPr>
          <w:rFonts w:cs="Arial"/>
          <w:szCs w:val="24"/>
        </w:rPr>
      </w:pPr>
      <w:r>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pPr>
        <w:pStyle w:val="Numbered"/>
        <w:numPr>
          <w:ilvl w:val="0"/>
          <w:numId w:val="21"/>
        </w:numPr>
        <w:overflowPunct/>
        <w:autoSpaceDE/>
        <w:autoSpaceDN w:val="0"/>
        <w:spacing w:after="200" w:line="360" w:lineRule="auto"/>
        <w:ind w:left="1418" w:hanging="709"/>
        <w:rPr>
          <w:rFonts w:cs="Arial"/>
          <w:szCs w:val="24"/>
        </w:rPr>
      </w:pPr>
      <w:r>
        <w:rPr>
          <w:rFonts w:cs="Arial"/>
          <w:szCs w:val="24"/>
        </w:rPr>
        <w:t>not used;</w:t>
      </w:r>
    </w:p>
    <w:p>
      <w:pPr>
        <w:pStyle w:val="Numbered"/>
        <w:numPr>
          <w:ilvl w:val="0"/>
          <w:numId w:val="21"/>
        </w:numPr>
        <w:overflowPunct/>
        <w:autoSpaceDE/>
        <w:autoSpaceDN w:val="0"/>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pPr>
        <w:pStyle w:val="Numbered"/>
        <w:numPr>
          <w:ilvl w:val="0"/>
          <w:numId w:val="21"/>
        </w:numPr>
        <w:overflowPunct/>
        <w:autoSpaceDE/>
        <w:autoSpaceDN w:val="0"/>
        <w:spacing w:after="200" w:line="360" w:lineRule="auto"/>
        <w:ind w:left="1418" w:hanging="709"/>
        <w:rPr>
          <w:rFonts w:cs="Arial"/>
          <w:szCs w:val="24"/>
        </w:rPr>
      </w:pPr>
      <w:proofErr w:type="gramStart"/>
      <w:r>
        <w:rPr>
          <w:rFonts w:cs="Arial"/>
          <w:szCs w:val="24"/>
        </w:rPr>
        <w:t>to</w:t>
      </w:r>
      <w:proofErr w:type="gramEnd"/>
      <w:r>
        <w:rPr>
          <w:rFonts w:cs="Arial"/>
          <w:szCs w:val="24"/>
        </w:rPr>
        <w:t xml:space="preserve"> do all such other lawful things as are necessary for or are incidental to or conducive to the achievement of the Objects.</w:t>
      </w:r>
    </w:p>
    <w:p>
      <w:pPr>
        <w:pStyle w:val="DfESOutNumbered"/>
        <w:numPr>
          <w:ilvl w:val="0"/>
          <w:numId w:val="0"/>
        </w:numPr>
        <w:spacing w:after="200" w:line="360" w:lineRule="auto"/>
        <w:ind w:left="709" w:hanging="709"/>
        <w:rPr>
          <w:sz w:val="24"/>
          <w:szCs w:val="24"/>
        </w:rPr>
      </w:pPr>
      <w:r>
        <w:rPr>
          <w:sz w:val="24"/>
          <w:szCs w:val="24"/>
        </w:rPr>
        <w:t>6.1</w:t>
      </w:r>
      <w:r>
        <w:rPr>
          <w:sz w:val="24"/>
          <w:szCs w:val="24"/>
        </w:rPr>
        <w:tab/>
        <w:t>The income and property of the Academy Trust shall be applied solely towards the promotion of the Objects.</w:t>
      </w:r>
    </w:p>
    <w:p>
      <w:pPr>
        <w:pStyle w:val="DfESOutNumbered"/>
        <w:numPr>
          <w:ilvl w:val="0"/>
          <w:numId w:val="0"/>
        </w:numPr>
        <w:spacing w:after="200" w:line="360" w:lineRule="auto"/>
        <w:ind w:left="709" w:hanging="709"/>
        <w:rPr>
          <w:sz w:val="24"/>
          <w:szCs w:val="24"/>
        </w:rPr>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4"/>
      </w:r>
      <w:r>
        <w:rPr>
          <w:sz w:val="24"/>
          <w:szCs w:val="24"/>
        </w:rPr>
        <w:t xml:space="preserve"> may:</w:t>
      </w:r>
    </w:p>
    <w:p>
      <w:pPr>
        <w:pStyle w:val="Numbered"/>
        <w:numPr>
          <w:ilvl w:val="1"/>
          <w:numId w:val="22"/>
        </w:numPr>
        <w:spacing w:after="200" w:line="360" w:lineRule="auto"/>
        <w:ind w:hanging="731"/>
        <w:rPr>
          <w:rFonts w:cs="Arial"/>
          <w:szCs w:val="24"/>
          <w:lang w:eastAsia="en-GB"/>
        </w:rPr>
      </w:pPr>
      <w:r>
        <w:rPr>
          <w:rFonts w:cs="Arial"/>
          <w:szCs w:val="24"/>
          <w:lang w:eastAsia="en-GB"/>
        </w:rPr>
        <w:t>benefit as a beneficiary of the Academy Trust;</w:t>
      </w:r>
    </w:p>
    <w:p>
      <w:pPr>
        <w:pStyle w:val="Numbered"/>
        <w:numPr>
          <w:ilvl w:val="1"/>
          <w:numId w:val="22"/>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Academy Trust</w:t>
      </w:r>
      <w:r>
        <w:rPr>
          <w:rFonts w:cs="Arial"/>
          <w:szCs w:val="24"/>
          <w:lang w:eastAsia="en-GB"/>
        </w:rPr>
        <w:t>;</w:t>
      </w:r>
    </w:p>
    <w:p>
      <w:pPr>
        <w:pStyle w:val="Numbered"/>
        <w:numPr>
          <w:ilvl w:val="1"/>
          <w:numId w:val="22"/>
        </w:numPr>
        <w:spacing w:after="200" w:line="360" w:lineRule="auto"/>
        <w:ind w:hanging="731"/>
        <w:rPr>
          <w:rFonts w:cs="Arial"/>
          <w:szCs w:val="24"/>
          <w:lang w:eastAsia="en-GB"/>
        </w:rPr>
      </w:pPr>
      <w:r>
        <w:rPr>
          <w:rFonts w:cs="Arial"/>
          <w:szCs w:val="24"/>
          <w:lang w:eastAsia="en-GB"/>
        </w:rPr>
        <w:t>be paid rent for premises let by the Member of the Academy Trust if the amount of the rent and other terms of the letting are reasonable and proper; and</w:t>
      </w:r>
    </w:p>
    <w:p>
      <w:pPr>
        <w:pStyle w:val="Numbered"/>
        <w:numPr>
          <w:ilvl w:val="1"/>
          <w:numId w:val="22"/>
        </w:numPr>
        <w:spacing w:after="200" w:line="360" w:lineRule="auto"/>
        <w:ind w:hanging="731"/>
        <w:rPr>
          <w:rFonts w:cs="Arial"/>
          <w:szCs w:val="24"/>
          <w:lang w:eastAsia="en-GB"/>
        </w:rPr>
      </w:pPr>
      <w:proofErr w:type="gramStart"/>
      <w:r>
        <w:rPr>
          <w:rFonts w:cs="Arial"/>
          <w:szCs w:val="24"/>
          <w:lang w:eastAsia="en-GB"/>
        </w:rPr>
        <w:t>be</w:t>
      </w:r>
      <w:proofErr w:type="gramEnd"/>
      <w:r>
        <w:rPr>
          <w:rFonts w:cs="Arial"/>
          <w:szCs w:val="24"/>
          <w:lang w:eastAsia="en-GB"/>
        </w:rPr>
        <w:t xml:space="preserve"> paid interest on money lent to the Academy Trust at a reasonable and proper rate, such rate not to exceed 2 per cent per annum below the base lending rate of a UK clearing bank selected by the Trustees, or 0.5%, whichever is the higher.</w:t>
      </w:r>
    </w:p>
    <w:p>
      <w:pPr>
        <w:pStyle w:val="DfESOutNumbered"/>
        <w:numPr>
          <w:ilvl w:val="0"/>
          <w:numId w:val="0"/>
        </w:numPr>
        <w:spacing w:after="200" w:line="360" w:lineRule="auto"/>
        <w:ind w:left="709" w:hanging="709"/>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pPr>
        <w:pStyle w:val="List3"/>
        <w:numPr>
          <w:ilvl w:val="2"/>
          <w:numId w:val="23"/>
        </w:numPr>
        <w:spacing w:after="200" w:line="360" w:lineRule="auto"/>
        <w:ind w:left="1418" w:hanging="709"/>
        <w:rPr>
          <w:rFonts w:cs="Arial"/>
          <w:szCs w:val="24"/>
          <w:lang w:eastAsia="en-GB"/>
        </w:rPr>
      </w:pPr>
      <w:r>
        <w:rPr>
          <w:rFonts w:cs="Arial"/>
          <w:szCs w:val="24"/>
          <w:lang w:eastAsia="en-GB"/>
        </w:rPr>
        <w:t>the remuneration or other sums paid to the Member do not exceed an amount that is reasonable in all the circumstances;</w:t>
      </w:r>
    </w:p>
    <w:p>
      <w:pPr>
        <w:pStyle w:val="List3"/>
        <w:numPr>
          <w:ilvl w:val="0"/>
          <w:numId w:val="25"/>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pPr>
        <w:pStyle w:val="List3"/>
        <w:numPr>
          <w:ilvl w:val="0"/>
          <w:numId w:val="25"/>
        </w:numPr>
        <w:spacing w:after="200" w:line="360" w:lineRule="auto"/>
        <w:ind w:left="1418" w:hanging="709"/>
      </w:pPr>
      <w:proofErr w:type="gramStart"/>
      <w:r>
        <w:rPr>
          <w:rFonts w:cs="Arial"/>
          <w:szCs w:val="24"/>
          <w:lang w:eastAsia="en-GB"/>
        </w:rPr>
        <w:t>the</w:t>
      </w:r>
      <w:proofErr w:type="gramEnd"/>
      <w:r>
        <w:rPr>
          <w:rFonts w:cs="Arial"/>
          <w:szCs w:val="24"/>
          <w:lang w:eastAsia="en-GB"/>
        </w:rPr>
        <w:t xml:space="preserve"> reason for their decision is recorded by the Trustees in the minute book</w:t>
      </w:r>
      <w:r>
        <w:rPr>
          <w:rStyle w:val="FootnoteReference"/>
          <w:rFonts w:cs="Arial"/>
          <w:szCs w:val="24"/>
          <w:lang w:eastAsia="en-GB"/>
        </w:rPr>
        <w:footnoteReference w:id="5"/>
      </w:r>
      <w:r>
        <w:rPr>
          <w:rFonts w:cs="Arial"/>
          <w:szCs w:val="24"/>
          <w:lang w:eastAsia="en-GB"/>
        </w:rPr>
        <w:t>.</w:t>
      </w:r>
      <w:r>
        <w:rPr>
          <w:rStyle w:val="FootnoteReference"/>
          <w:szCs w:val="24"/>
          <w:lang w:eastAsia="en-GB"/>
        </w:rPr>
        <w:t xml:space="preserve"> </w:t>
      </w:r>
    </w:p>
    <w:p>
      <w:pPr>
        <w:pStyle w:val="DfESOutNumbered"/>
        <w:numPr>
          <w:ilvl w:val="0"/>
          <w:numId w:val="0"/>
        </w:numPr>
        <w:spacing w:after="200" w:line="360" w:lineRule="auto"/>
        <w:ind w:left="709" w:hanging="709"/>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pPr>
        <w:pStyle w:val="DfESOutNumbered"/>
        <w:numPr>
          <w:ilvl w:val="0"/>
          <w:numId w:val="0"/>
        </w:numPr>
        <w:spacing w:after="200" w:line="360" w:lineRule="auto"/>
        <w:ind w:left="709" w:hanging="709"/>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pPr>
        <w:pStyle w:val="DfESOutNumbered"/>
        <w:numPr>
          <w:ilvl w:val="0"/>
          <w:numId w:val="0"/>
        </w:numPr>
        <w:spacing w:after="200" w:line="360" w:lineRule="auto"/>
        <w:ind w:left="709" w:hanging="709"/>
        <w:rPr>
          <w:sz w:val="24"/>
          <w:szCs w:val="24"/>
        </w:rPr>
      </w:pPr>
      <w:r>
        <w:rPr>
          <w:sz w:val="24"/>
          <w:szCs w:val="24"/>
        </w:rPr>
        <w:t>6.5</w:t>
      </w:r>
      <w:r>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pPr>
        <w:pStyle w:val="List2"/>
        <w:spacing w:after="200" w:line="360" w:lineRule="auto"/>
        <w:ind w:left="709" w:hanging="709"/>
        <w:rPr>
          <w:rFonts w:cs="Arial"/>
          <w:szCs w:val="24"/>
          <w:lang w:eastAsia="en-GB"/>
        </w:rPr>
      </w:pPr>
      <w:r>
        <w:rPr>
          <w:rFonts w:cs="Arial"/>
          <w:szCs w:val="24"/>
          <w:lang w:eastAsia="en-GB"/>
        </w:rPr>
        <w:t>6.6</w:t>
      </w:r>
      <w:r>
        <w:rPr>
          <w:rFonts w:cs="Arial"/>
          <w:szCs w:val="24"/>
          <w:lang w:eastAsia="en-GB"/>
        </w:rPr>
        <w:tab/>
        <w:t>No Trustee may:</w:t>
      </w:r>
    </w:p>
    <w:p>
      <w:pPr>
        <w:pStyle w:val="List3"/>
        <w:numPr>
          <w:ilvl w:val="0"/>
          <w:numId w:val="26"/>
        </w:numPr>
        <w:spacing w:after="200" w:line="360" w:lineRule="auto"/>
        <w:ind w:left="1418" w:hanging="698"/>
      </w:pPr>
      <w:r>
        <w:rPr>
          <w:rFonts w:cs="Arial"/>
          <w:szCs w:val="24"/>
          <w:lang w:eastAsia="en-GB"/>
        </w:rPr>
        <w:t xml:space="preserve">buy any goods or services from the </w:t>
      </w:r>
      <w:r>
        <w:rPr>
          <w:rFonts w:cs="Arial"/>
          <w:szCs w:val="24"/>
        </w:rPr>
        <w:t>Academy Trust</w:t>
      </w:r>
      <w:r>
        <w:rPr>
          <w:rFonts w:cs="Arial"/>
          <w:szCs w:val="24"/>
          <w:lang w:eastAsia="en-GB"/>
        </w:rPr>
        <w:t>;</w:t>
      </w:r>
    </w:p>
    <w:p>
      <w:pPr>
        <w:pStyle w:val="List3"/>
        <w:numPr>
          <w:ilvl w:val="0"/>
          <w:numId w:val="26"/>
        </w:numPr>
        <w:spacing w:after="200" w:line="360" w:lineRule="auto"/>
        <w:ind w:left="1418" w:hanging="698"/>
      </w:pPr>
      <w:r>
        <w:rPr>
          <w:rFonts w:cs="Arial"/>
          <w:szCs w:val="24"/>
          <w:lang w:eastAsia="en-GB"/>
        </w:rPr>
        <w:t xml:space="preserve">sell goods, services, or any interest in land to the </w:t>
      </w:r>
      <w:r>
        <w:rPr>
          <w:rFonts w:cs="Arial"/>
          <w:szCs w:val="24"/>
        </w:rPr>
        <w:t>Academy Trust</w:t>
      </w:r>
      <w:r>
        <w:rPr>
          <w:rFonts w:cs="Arial"/>
          <w:szCs w:val="24"/>
          <w:lang w:eastAsia="en-GB"/>
        </w:rPr>
        <w:t>;</w:t>
      </w:r>
    </w:p>
    <w:p>
      <w:pPr>
        <w:pStyle w:val="List3"/>
        <w:numPr>
          <w:ilvl w:val="0"/>
          <w:numId w:val="26"/>
        </w:numPr>
        <w:spacing w:after="200" w:line="360" w:lineRule="auto"/>
        <w:ind w:left="1418" w:hanging="698"/>
      </w:pPr>
      <w:r>
        <w:rPr>
          <w:rFonts w:cs="Arial"/>
          <w:szCs w:val="24"/>
          <w:lang w:eastAsia="en-GB"/>
        </w:rPr>
        <w:t xml:space="preserve">be employed by, or receive any remuneration from the </w:t>
      </w:r>
      <w:r>
        <w:rPr>
          <w:rFonts w:cs="Arial"/>
          <w:szCs w:val="24"/>
        </w:rPr>
        <w:t>Academy Trust (other than the Chief Executive Officer to the extent he or she is a Trustee, whose employment and/or remuneration is subject to the procedure and conditions in Article 6.8)</w:t>
      </w:r>
      <w:r>
        <w:rPr>
          <w:rFonts w:cs="Arial"/>
          <w:szCs w:val="24"/>
          <w:lang w:eastAsia="en-GB"/>
        </w:rPr>
        <w:t>; or</w:t>
      </w:r>
    </w:p>
    <w:p>
      <w:pPr>
        <w:pStyle w:val="List3"/>
        <w:numPr>
          <w:ilvl w:val="0"/>
          <w:numId w:val="26"/>
        </w:numPr>
        <w:spacing w:after="200" w:line="360" w:lineRule="auto"/>
        <w:ind w:left="1418" w:hanging="698"/>
        <w:rPr>
          <w:rFonts w:cs="Arial"/>
          <w:szCs w:val="24"/>
          <w:lang w:eastAsia="en-GB"/>
        </w:rPr>
      </w:pPr>
      <w:r>
        <w:rPr>
          <w:rFonts w:cs="Arial"/>
          <w:szCs w:val="24"/>
          <w:lang w:eastAsia="en-GB"/>
        </w:rPr>
        <w:t>receive any other financial benefit from the Academy Trust;</w:t>
      </w:r>
    </w:p>
    <w:p>
      <w:pPr>
        <w:pStyle w:val="List3"/>
        <w:numPr>
          <w:ilvl w:val="0"/>
          <w:numId w:val="26"/>
        </w:numPr>
        <w:spacing w:after="200" w:line="360" w:lineRule="auto"/>
        <w:ind w:left="1418" w:hanging="698"/>
        <w:rPr>
          <w:rFonts w:cs="Arial"/>
          <w:szCs w:val="24"/>
          <w:lang w:eastAsia="en-GB"/>
        </w:rPr>
      </w:pPr>
      <w:r>
        <w:rPr>
          <w:rFonts w:cs="Arial"/>
          <w:szCs w:val="24"/>
          <w:lang w:eastAsia="en-GB"/>
        </w:rPr>
        <w:t>unless:</w:t>
      </w:r>
    </w:p>
    <w:p>
      <w:pPr>
        <w:pStyle w:val="List4"/>
        <w:numPr>
          <w:ilvl w:val="0"/>
          <w:numId w:val="27"/>
        </w:numPr>
        <w:tabs>
          <w:tab w:val="left" w:pos="1080"/>
        </w:tabs>
        <w:spacing w:after="200" w:line="360" w:lineRule="auto"/>
        <w:ind w:left="1985" w:hanging="567"/>
        <w:rPr>
          <w:rFonts w:cs="Arial"/>
          <w:szCs w:val="24"/>
          <w:lang w:eastAsia="en-GB"/>
        </w:rPr>
      </w:pPr>
      <w:r>
        <w:rPr>
          <w:rFonts w:cs="Arial"/>
          <w:szCs w:val="24"/>
          <w:lang w:eastAsia="en-GB"/>
        </w:rPr>
        <w:t>the payment is permitted by Article 6.7 and the Trustees follow the procedure and observe the conditions set out in Article 6.8; or</w:t>
      </w:r>
    </w:p>
    <w:p>
      <w:pPr>
        <w:pStyle w:val="List4"/>
        <w:numPr>
          <w:ilvl w:val="0"/>
          <w:numId w:val="27"/>
        </w:numPr>
        <w:spacing w:after="200" w:line="360" w:lineRule="auto"/>
        <w:ind w:left="1985" w:hanging="567"/>
        <w:rPr>
          <w:rFonts w:cs="Arial"/>
          <w:szCs w:val="24"/>
          <w:lang w:eastAsia="en-GB"/>
        </w:rPr>
      </w:pPr>
      <w:proofErr w:type="gramStart"/>
      <w:r>
        <w:rPr>
          <w:rFonts w:cs="Arial"/>
          <w:szCs w:val="24"/>
          <w:lang w:eastAsia="en-GB"/>
        </w:rPr>
        <w:t>the</w:t>
      </w:r>
      <w:proofErr w:type="gramEnd"/>
      <w:r>
        <w:rPr>
          <w:rFonts w:cs="Arial"/>
          <w:szCs w:val="24"/>
          <w:lang w:eastAsia="en-GB"/>
        </w:rPr>
        <w:t xml:space="preserve"> Trustees obtain the prior written approval of the Charity Commission and fully comply with any procedures it prescribes.</w:t>
      </w:r>
    </w:p>
    <w:p>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pPr>
        <w:pStyle w:val="ListContinue2"/>
        <w:numPr>
          <w:ilvl w:val="1"/>
          <w:numId w:val="28"/>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Academy Trust</w:t>
      </w:r>
      <w:r>
        <w:rPr>
          <w:rFonts w:cs="Arial"/>
          <w:szCs w:val="24"/>
          <w:lang w:eastAsia="en-GB"/>
        </w:rPr>
        <w:t>;</w:t>
      </w:r>
    </w:p>
    <w:p>
      <w:pPr>
        <w:pStyle w:val="ListContinue2"/>
        <w:numPr>
          <w:ilvl w:val="1"/>
          <w:numId w:val="28"/>
        </w:numPr>
        <w:spacing w:after="200" w:line="360" w:lineRule="auto"/>
        <w:ind w:left="1418" w:hanging="709"/>
      </w:pPr>
      <w:r>
        <w:rPr>
          <w:rFonts w:cs="Arial"/>
          <w:szCs w:val="24"/>
        </w:rPr>
        <w:t>be employed by the Academy Trust or enter into a contract for the supply of goods or services to the Academy Trust, other than for acting as a Trustee;</w:t>
      </w:r>
    </w:p>
    <w:p>
      <w:pPr>
        <w:pStyle w:val="ListContinue2"/>
        <w:numPr>
          <w:ilvl w:val="1"/>
          <w:numId w:val="28"/>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pPr>
        <w:pStyle w:val="List3"/>
        <w:numPr>
          <w:ilvl w:val="1"/>
          <w:numId w:val="28"/>
        </w:numPr>
        <w:spacing w:after="200" w:line="360" w:lineRule="auto"/>
        <w:ind w:left="1418" w:hanging="709"/>
        <w:rPr>
          <w:rFonts w:cs="Arial"/>
          <w:szCs w:val="24"/>
          <w:lang w:eastAsia="en-GB"/>
        </w:rPr>
      </w:pPr>
      <w:proofErr w:type="gramStart"/>
      <w:r>
        <w:rPr>
          <w:rFonts w:cs="Arial"/>
          <w:szCs w:val="24"/>
          <w:lang w:eastAsia="en-GB"/>
        </w:rPr>
        <w:t>receive</w:t>
      </w:r>
      <w:proofErr w:type="gramEnd"/>
      <w:r>
        <w:rPr>
          <w:rFonts w:cs="Arial"/>
          <w:szCs w:val="24"/>
          <w:lang w:eastAsia="en-GB"/>
        </w:rPr>
        <w:t xml:space="preser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pPr>
        <w:pStyle w:val="DfESOutNumbered"/>
        <w:numPr>
          <w:ilvl w:val="0"/>
          <w:numId w:val="0"/>
        </w:numPr>
        <w:spacing w:after="200" w:line="360" w:lineRule="auto"/>
        <w:ind w:left="709" w:hanging="709"/>
        <w:rPr>
          <w:sz w:val="24"/>
          <w:szCs w:val="24"/>
        </w:rPr>
      </w:pPr>
      <w:r>
        <w:rPr>
          <w:sz w:val="24"/>
          <w:szCs w:val="24"/>
        </w:rPr>
        <w:t>6.8</w:t>
      </w:r>
      <w:r>
        <w:rPr>
          <w:sz w:val="24"/>
          <w:szCs w:val="24"/>
        </w:rPr>
        <w:tab/>
        <w:t>The Academy Trust and its Trustees may only rely upon the authority provided by Article 6.7 if each of the following conditions is satisfied:</w:t>
      </w:r>
    </w:p>
    <w:p>
      <w:pPr>
        <w:pStyle w:val="List3"/>
        <w:numPr>
          <w:ilvl w:val="0"/>
          <w:numId w:val="29"/>
        </w:numPr>
        <w:spacing w:after="200" w:line="360" w:lineRule="auto"/>
        <w:ind w:left="1418" w:hanging="709"/>
        <w:rPr>
          <w:rFonts w:cs="Arial"/>
          <w:szCs w:val="24"/>
          <w:lang w:eastAsia="en-GB"/>
        </w:rPr>
      </w:pPr>
      <w:r>
        <w:rPr>
          <w:rFonts w:cs="Arial"/>
          <w:szCs w:val="24"/>
          <w:lang w:eastAsia="en-GB"/>
        </w:rPr>
        <w:t>the remuneration or other sums paid to the Trustee do not exceed an amount that is reasonable in all the circumstances;</w:t>
      </w:r>
    </w:p>
    <w:p>
      <w:pPr>
        <w:pStyle w:val="List3"/>
        <w:numPr>
          <w:ilvl w:val="0"/>
          <w:numId w:val="29"/>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pPr>
        <w:pStyle w:val="ListBullet4"/>
        <w:numPr>
          <w:ilvl w:val="0"/>
          <w:numId w:val="30"/>
        </w:numPr>
        <w:spacing w:after="200" w:line="360" w:lineRule="auto"/>
        <w:ind w:left="1985" w:hanging="567"/>
        <w:rPr>
          <w:rFonts w:cs="Arial"/>
        </w:rPr>
      </w:pPr>
      <w:r>
        <w:rPr>
          <w:rFonts w:cs="Arial"/>
        </w:rPr>
        <w:t>his or her employment, remuneration, or any matter concerning the contract, payment or benefit; or</w:t>
      </w:r>
    </w:p>
    <w:p>
      <w:pPr>
        <w:pStyle w:val="ListBullet4"/>
        <w:numPr>
          <w:ilvl w:val="0"/>
          <w:numId w:val="30"/>
        </w:numPr>
        <w:spacing w:after="200" w:line="360" w:lineRule="auto"/>
        <w:ind w:left="1985" w:hanging="567"/>
        <w:rPr>
          <w:rFonts w:cs="Arial"/>
        </w:rPr>
      </w:pPr>
      <w:r>
        <w:rPr>
          <w:rFonts w:cs="Arial"/>
        </w:rPr>
        <w:t>his or her performance in the employment, or his or her performance of the contract; or</w:t>
      </w:r>
    </w:p>
    <w:p>
      <w:pPr>
        <w:pStyle w:val="ListBullet4"/>
        <w:numPr>
          <w:ilvl w:val="0"/>
          <w:numId w:val="30"/>
        </w:numPr>
        <w:spacing w:after="200" w:line="360" w:lineRule="auto"/>
        <w:ind w:left="1985" w:hanging="567"/>
        <w:rPr>
          <w:rFonts w:cs="Arial"/>
        </w:rPr>
      </w:pPr>
      <w:r>
        <w:rPr>
          <w:rFonts w:cs="Arial"/>
        </w:rPr>
        <w:t>any proposal to enter into any other contract or arrangement with him or her or to confer any benefit upon him or her that would be permitted under Article 6.7; or</w:t>
      </w:r>
    </w:p>
    <w:p>
      <w:pPr>
        <w:pStyle w:val="ListBullet4"/>
        <w:numPr>
          <w:ilvl w:val="0"/>
          <w:numId w:val="30"/>
        </w:numPr>
        <w:spacing w:after="200" w:line="360" w:lineRule="auto"/>
        <w:ind w:left="1985" w:hanging="567"/>
        <w:rPr>
          <w:rFonts w:cs="Arial"/>
        </w:rPr>
      </w:pPr>
      <w:r>
        <w:rPr>
          <w:rFonts w:cs="Arial"/>
        </w:rPr>
        <w:t>any other matter relating to a payment or the conferring of any benefit permitted by Article 6.7;</w:t>
      </w:r>
    </w:p>
    <w:p>
      <w:pPr>
        <w:pStyle w:val="List3"/>
        <w:numPr>
          <w:ilvl w:val="0"/>
          <w:numId w:val="29"/>
        </w:numPr>
        <w:spacing w:after="200" w:line="360" w:lineRule="auto"/>
        <w:ind w:left="1418" w:hanging="709"/>
        <w:rPr>
          <w:rFonts w:cs="Arial"/>
          <w:szCs w:val="24"/>
          <w:lang w:eastAsia="en-GB"/>
        </w:rPr>
      </w:pPr>
      <w:r>
        <w:rPr>
          <w:rFonts w:cs="Arial"/>
          <w:szCs w:val="24"/>
          <w:lang w:eastAsia="en-GB"/>
        </w:rPr>
        <w:t>the Trustee does not vote on any such matter and is not to be counted when calculating whether a quorum of Trustees is present at the meeting;</w:t>
      </w:r>
    </w:p>
    <w:p>
      <w:pPr>
        <w:pStyle w:val="List3"/>
        <w:numPr>
          <w:ilvl w:val="0"/>
          <w:numId w:val="29"/>
        </w:numPr>
        <w:spacing w:after="200" w:line="360" w:lineRule="auto"/>
        <w:ind w:left="1418" w:hanging="709"/>
      </w:pPr>
      <w:r>
        <w:rPr>
          <w:rFonts w:cs="Arial"/>
          <w:szCs w:val="24"/>
          <w:lang w:eastAsia="en-GB"/>
        </w:rPr>
        <w:t xml:space="preserve">save in relation to employing or contracting with the Chief Executive Officer (to the extent he or she is 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
    <w:p>
      <w:pPr>
        <w:pStyle w:val="List3"/>
        <w:numPr>
          <w:ilvl w:val="0"/>
          <w:numId w:val="29"/>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pPr>
        <w:pStyle w:val="List3"/>
        <w:numPr>
          <w:ilvl w:val="0"/>
          <w:numId w:val="29"/>
        </w:numPr>
        <w:spacing w:after="200" w:line="360" w:lineRule="auto"/>
        <w:ind w:left="1418" w:hanging="709"/>
        <w:rPr>
          <w:rFonts w:cs="Arial"/>
          <w:szCs w:val="24"/>
          <w:lang w:eastAsia="en-GB"/>
        </w:rPr>
      </w:pPr>
      <w:r>
        <w:rPr>
          <w:rFonts w:cs="Arial"/>
          <w:szCs w:val="24"/>
          <w:lang w:eastAsia="en-GB"/>
        </w:rPr>
        <w:tab/>
      </w:r>
      <w:proofErr w:type="gramStart"/>
      <w:r>
        <w:rPr>
          <w:rFonts w:cs="Arial"/>
          <w:szCs w:val="24"/>
          <w:lang w:eastAsia="en-GB"/>
        </w:rPr>
        <w:t>a</w:t>
      </w:r>
      <w:proofErr w:type="gramEnd"/>
      <w:r>
        <w:rPr>
          <w:rFonts w:cs="Arial"/>
          <w:szCs w:val="24"/>
          <w:lang w:eastAsia="en-GB"/>
        </w:rPr>
        <w:t xml:space="preserve"> majority of the Trustees then in office have received no such payments or benefit.</w:t>
      </w:r>
    </w:p>
    <w:p>
      <w:pPr>
        <w:pStyle w:val="DfESOutNumbered"/>
        <w:numPr>
          <w:ilvl w:val="0"/>
          <w:numId w:val="0"/>
        </w:numPr>
        <w:spacing w:after="200" w:line="360" w:lineRule="auto"/>
        <w:ind w:left="709" w:hanging="709"/>
        <w:rPr>
          <w:sz w:val="24"/>
          <w:szCs w:val="24"/>
        </w:rPr>
      </w:pPr>
      <w:r>
        <w:rPr>
          <w:sz w:val="24"/>
          <w:szCs w:val="24"/>
        </w:rPr>
        <w:t>6.8A</w:t>
      </w:r>
      <w:r>
        <w:rPr>
          <w:sz w:val="24"/>
          <w:szCs w:val="24"/>
        </w:rPr>
        <w:tab/>
        <w:t>The provision in Article 6.6 (c) that no Trustee may be employed by or receive any remuneration from the Academy Trust (other than the Chief Executive Officer</w:t>
      </w:r>
      <w:r>
        <w:rPr>
          <w:szCs w:val="24"/>
        </w:rPr>
        <w:t xml:space="preserve"> </w:t>
      </w:r>
      <w:r>
        <w:rPr>
          <w:szCs w:val="24"/>
          <w:lang w:eastAsia="en-GB"/>
        </w:rPr>
        <w:t xml:space="preserve"> </w:t>
      </w:r>
      <w:r>
        <w:rPr>
          <w:sz w:val="24"/>
          <w:szCs w:val="24"/>
          <w:lang w:eastAsia="en-GB"/>
        </w:rPr>
        <w:t>to the extent he or she is a Trustee</w:t>
      </w:r>
      <w:r>
        <w:rPr>
          <w:sz w:val="24"/>
          <w:szCs w:val="24"/>
        </w:rPr>
        <w:t>) does not apply to an employee of the Academy Trust who is subsequently elected or appointed as a Trustee save that this Article shall only allow such a Trustee to receive remuneration or benefit from the Academy Trust in his capacity as an employee of the Academy Trust and provided that the procedure as set out in Articles 6.8(b) and 6.8 (c) is followed.</w:t>
      </w:r>
    </w:p>
    <w:p>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t>In Articles 6.2-6.8A:</w:t>
      </w:r>
    </w:p>
    <w:p>
      <w:pPr>
        <w:pStyle w:val="List3"/>
        <w:numPr>
          <w:ilvl w:val="0"/>
          <w:numId w:val="31"/>
        </w:numPr>
        <w:spacing w:after="200" w:line="360" w:lineRule="auto"/>
        <w:ind w:left="1418" w:hanging="709"/>
      </w:pPr>
      <w:r>
        <w:rPr>
          <w:rFonts w:cs="Arial"/>
          <w:szCs w:val="24"/>
          <w:lang w:eastAsia="en-GB"/>
        </w:rPr>
        <w:t xml:space="preserve">“company” shall include any company in which the </w:t>
      </w:r>
      <w:r>
        <w:rPr>
          <w:rFonts w:cs="Arial"/>
          <w:szCs w:val="24"/>
        </w:rPr>
        <w:t>Academy Trust</w:t>
      </w:r>
      <w:r>
        <w:rPr>
          <w:rFonts w:cs="Arial"/>
          <w:szCs w:val="24"/>
          <w:lang w:eastAsia="en-GB"/>
        </w:rPr>
        <w:t>:</w:t>
      </w:r>
    </w:p>
    <w:p>
      <w:pPr>
        <w:pStyle w:val="DeptBullets"/>
        <w:numPr>
          <w:ilvl w:val="0"/>
          <w:numId w:val="99"/>
        </w:numPr>
        <w:spacing w:after="200" w:line="360" w:lineRule="auto"/>
        <w:ind w:left="1985" w:hanging="567"/>
        <w:rPr>
          <w:rFonts w:cs="Arial"/>
          <w:szCs w:val="24"/>
          <w:lang w:eastAsia="en-GB"/>
        </w:rPr>
      </w:pPr>
      <w:r>
        <w:rPr>
          <w:rFonts w:cs="Arial"/>
          <w:szCs w:val="24"/>
          <w:lang w:eastAsia="en-GB"/>
        </w:rPr>
        <w:t>holds more than 50% of the shares; or</w:t>
      </w:r>
    </w:p>
    <w:p>
      <w:pPr>
        <w:pStyle w:val="DeptBullets"/>
        <w:numPr>
          <w:ilvl w:val="0"/>
          <w:numId w:val="99"/>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pPr>
        <w:pStyle w:val="DeptBullets"/>
        <w:numPr>
          <w:ilvl w:val="0"/>
          <w:numId w:val="99"/>
        </w:numPr>
        <w:spacing w:after="200" w:line="360" w:lineRule="auto"/>
        <w:ind w:left="1985" w:hanging="567"/>
        <w:rPr>
          <w:rFonts w:cs="Arial"/>
          <w:szCs w:val="24"/>
          <w:lang w:eastAsia="en-GB"/>
        </w:rPr>
      </w:pPr>
      <w:r>
        <w:rPr>
          <w:rFonts w:cs="Arial"/>
          <w:szCs w:val="24"/>
          <w:lang w:eastAsia="en-GB"/>
        </w:rPr>
        <w:t>has the right to appoint one or more directors to the board of the company;</w:t>
      </w:r>
    </w:p>
    <w:p>
      <w:pPr>
        <w:pStyle w:val="Numbered"/>
        <w:numPr>
          <w:ilvl w:val="0"/>
          <w:numId w:val="31"/>
        </w:numPr>
        <w:spacing w:after="200" w:line="360" w:lineRule="auto"/>
        <w:ind w:left="1418" w:hanging="709"/>
      </w:pPr>
      <w:r>
        <w:rPr>
          <w:rFonts w:cs="Arial"/>
          <w:szCs w:val="24"/>
          <w:lang w:eastAsia="en-GB"/>
        </w:rPr>
        <w:t>“Trustee” shall include any child, stepchild, parent, grandchild, grandparent, brother, sister or spouse of the Trustee or any person living with the Trustee as his or her partner;</w:t>
      </w:r>
      <w:r>
        <w:rPr>
          <w:rFonts w:cs="Arial"/>
          <w:szCs w:val="24"/>
        </w:rPr>
        <w:t xml:space="preserve"> </w:t>
      </w:r>
    </w:p>
    <w:p>
      <w:pPr>
        <w:pStyle w:val="BodyText"/>
        <w:numPr>
          <w:ilvl w:val="0"/>
          <w:numId w:val="31"/>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pPr>
        <w:pStyle w:val="List3"/>
        <w:numPr>
          <w:ilvl w:val="1"/>
          <w:numId w:val="32"/>
        </w:numPr>
        <w:spacing w:after="200" w:line="360" w:lineRule="auto"/>
        <w:ind w:left="1985" w:hanging="567"/>
        <w:rPr>
          <w:rFonts w:cs="Arial"/>
          <w:szCs w:val="24"/>
          <w:lang w:eastAsia="en-GB"/>
        </w:rPr>
      </w:pPr>
      <w:r>
        <w:rPr>
          <w:rFonts w:cs="Arial"/>
          <w:szCs w:val="24"/>
          <w:lang w:eastAsia="en-GB"/>
        </w:rPr>
        <w:t>a partner;</w:t>
      </w:r>
    </w:p>
    <w:p>
      <w:pPr>
        <w:pStyle w:val="List3"/>
        <w:numPr>
          <w:ilvl w:val="1"/>
          <w:numId w:val="32"/>
        </w:numPr>
        <w:spacing w:after="200" w:line="360" w:lineRule="auto"/>
        <w:ind w:left="1985" w:hanging="567"/>
        <w:rPr>
          <w:rFonts w:cs="Arial"/>
          <w:szCs w:val="24"/>
          <w:lang w:eastAsia="en-GB"/>
        </w:rPr>
      </w:pPr>
      <w:r>
        <w:rPr>
          <w:rFonts w:cs="Arial"/>
          <w:szCs w:val="24"/>
          <w:lang w:eastAsia="en-GB"/>
        </w:rPr>
        <w:t>an employee;</w:t>
      </w:r>
    </w:p>
    <w:p>
      <w:pPr>
        <w:pStyle w:val="List"/>
        <w:numPr>
          <w:ilvl w:val="1"/>
          <w:numId w:val="32"/>
        </w:numPr>
        <w:spacing w:after="200" w:line="360" w:lineRule="auto"/>
        <w:ind w:left="1985" w:hanging="567"/>
        <w:rPr>
          <w:rFonts w:cs="Arial"/>
          <w:szCs w:val="24"/>
          <w:lang w:eastAsia="en-GB"/>
        </w:rPr>
      </w:pPr>
      <w:r>
        <w:rPr>
          <w:rFonts w:cs="Arial"/>
          <w:szCs w:val="24"/>
          <w:lang w:eastAsia="en-GB"/>
        </w:rPr>
        <w:t>a consultant;</w:t>
      </w:r>
    </w:p>
    <w:p>
      <w:pPr>
        <w:pStyle w:val="List3"/>
        <w:numPr>
          <w:ilvl w:val="1"/>
          <w:numId w:val="32"/>
        </w:numPr>
        <w:spacing w:after="200" w:line="360" w:lineRule="auto"/>
        <w:ind w:left="1985" w:hanging="567"/>
        <w:rPr>
          <w:rFonts w:cs="Arial"/>
          <w:szCs w:val="24"/>
          <w:lang w:eastAsia="en-GB"/>
        </w:rPr>
      </w:pPr>
      <w:r>
        <w:rPr>
          <w:rFonts w:cs="Arial"/>
          <w:szCs w:val="24"/>
          <w:lang w:eastAsia="en-GB"/>
        </w:rPr>
        <w:t>a director;</w:t>
      </w:r>
    </w:p>
    <w:p>
      <w:pPr>
        <w:pStyle w:val="List3"/>
        <w:numPr>
          <w:ilvl w:val="1"/>
          <w:numId w:val="32"/>
        </w:numPr>
        <w:spacing w:after="200" w:line="360" w:lineRule="auto"/>
        <w:ind w:left="1985" w:hanging="567"/>
        <w:rPr>
          <w:rFonts w:cs="Arial"/>
          <w:szCs w:val="24"/>
          <w:lang w:eastAsia="en-GB"/>
        </w:rPr>
      </w:pPr>
      <w:r>
        <w:rPr>
          <w:rFonts w:cs="Arial"/>
          <w:szCs w:val="24"/>
          <w:lang w:eastAsia="en-GB"/>
        </w:rPr>
        <w:t>a member; or</w:t>
      </w:r>
    </w:p>
    <w:p>
      <w:pPr>
        <w:pStyle w:val="List3"/>
        <w:numPr>
          <w:ilvl w:val="1"/>
          <w:numId w:val="32"/>
        </w:numPr>
        <w:spacing w:after="200" w:line="360" w:lineRule="auto"/>
        <w:ind w:left="1985" w:hanging="567"/>
        <w:rPr>
          <w:rFonts w:cs="Arial"/>
          <w:szCs w:val="24"/>
          <w:lang w:eastAsia="en-GB"/>
        </w:rPr>
      </w:pPr>
      <w:r>
        <w:rPr>
          <w:rFonts w:cs="Arial"/>
          <w:szCs w:val="24"/>
          <w:lang w:eastAsia="en-GB"/>
        </w:rPr>
        <w:t>a shareholder, unless the shares of the company are that of a public company which are listed on a recognised stock exchange and the Trustee holds less than 1% of the issued capital.</w:t>
      </w:r>
    </w:p>
    <w:p>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pPr>
        <w:pStyle w:val="DfESOutNumbered"/>
        <w:numPr>
          <w:ilvl w:val="0"/>
          <w:numId w:val="0"/>
        </w:numPr>
        <w:spacing w:after="200" w:line="360" w:lineRule="auto"/>
        <w:ind w:left="709" w:hanging="709"/>
        <w:rPr>
          <w:sz w:val="24"/>
          <w:szCs w:val="24"/>
        </w:rPr>
      </w:pPr>
      <w:r>
        <w:rPr>
          <w:sz w:val="24"/>
          <w:szCs w:val="24"/>
        </w:rPr>
        <w:t>8.</w:t>
      </w:r>
      <w:r>
        <w:rPr>
          <w:sz w:val="24"/>
          <w:szCs w:val="24"/>
        </w:rPr>
        <w:tab/>
        <w:t>Every Member of the Academy Trust undertakes to contribute such amount as may be required (not exceeding £10) to the Academy Trust’s assets if it should be wound up while he or she is a Member or within one year after he or she ceases to be a Member, for payment of the Academy Trust’s debts and liabilities before he or she ceases to be a Member, and of the costs, charges and expenses of winding up, and for the adjustment of the rights of the contributors among themselves.</w:t>
      </w:r>
    </w:p>
    <w:p>
      <w:pPr>
        <w:pStyle w:val="DfESOutNumbered"/>
        <w:numPr>
          <w:ilvl w:val="0"/>
          <w:numId w:val="0"/>
        </w:numPr>
        <w:spacing w:after="200" w:line="360" w:lineRule="auto"/>
        <w:ind w:left="709" w:hanging="709"/>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pPr>
        <w:pStyle w:val="DfESOutNumbered"/>
        <w:numPr>
          <w:ilvl w:val="0"/>
          <w:numId w:val="0"/>
        </w:numPr>
        <w:spacing w:after="200" w:line="360" w:lineRule="auto"/>
        <w:rPr>
          <w:sz w:val="24"/>
          <w:szCs w:val="24"/>
        </w:rPr>
      </w:pPr>
      <w:r>
        <w:rPr>
          <w:sz w:val="24"/>
          <w:szCs w:val="24"/>
        </w:rPr>
        <w:t>10.</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11.</w:t>
      </w:r>
      <w:r>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pPr>
        <w:pStyle w:val="DfESOutNumbered"/>
        <w:numPr>
          <w:ilvl w:val="0"/>
          <w:numId w:val="0"/>
        </w:numPr>
        <w:spacing w:after="200" w:line="360" w:lineRule="auto"/>
        <w:ind w:left="709" w:hanging="709"/>
        <w:rPr>
          <w:sz w:val="24"/>
          <w:szCs w:val="24"/>
        </w:rPr>
      </w:pPr>
    </w:p>
    <w:p>
      <w:pPr>
        <w:pStyle w:val="DfESOutNumbered"/>
        <w:numPr>
          <w:ilvl w:val="0"/>
          <w:numId w:val="0"/>
        </w:numPr>
        <w:spacing w:after="200" w:line="360" w:lineRule="auto"/>
        <w:ind w:left="709" w:hanging="709"/>
        <w:rPr>
          <w:sz w:val="24"/>
          <w:szCs w:val="24"/>
        </w:rPr>
      </w:pPr>
    </w:p>
    <w:p>
      <w:pPr>
        <w:pStyle w:val="Numbered"/>
        <w:spacing w:after="200" w:line="360" w:lineRule="auto"/>
        <w:ind w:left="360" w:hanging="360"/>
        <w:rPr>
          <w:rFonts w:cs="Arial"/>
          <w:b/>
          <w:szCs w:val="24"/>
        </w:rPr>
      </w:pPr>
      <w:r>
        <w:rPr>
          <w:rFonts w:cs="Arial"/>
          <w:b/>
          <w:szCs w:val="24"/>
        </w:rPr>
        <w:t>MEMBERS</w:t>
      </w:r>
    </w:p>
    <w:p>
      <w:pPr>
        <w:pStyle w:val="Numbered"/>
        <w:spacing w:after="200" w:line="360" w:lineRule="auto"/>
        <w:ind w:left="709" w:hanging="709"/>
        <w:rPr>
          <w:rFonts w:cs="Arial"/>
          <w:szCs w:val="24"/>
        </w:rPr>
      </w:pPr>
      <w:r>
        <w:rPr>
          <w:rFonts w:cs="Arial"/>
          <w:szCs w:val="24"/>
        </w:rPr>
        <w:t>12.</w:t>
      </w:r>
      <w:r>
        <w:rPr>
          <w:rFonts w:cs="Arial"/>
          <w:szCs w:val="24"/>
        </w:rPr>
        <w:tab/>
        <w:t>The Members of the Academy Trust</w:t>
      </w:r>
      <w:r>
        <w:rPr>
          <w:rStyle w:val="FootnoteReference"/>
          <w:rFonts w:cs="Arial"/>
          <w:szCs w:val="24"/>
        </w:rPr>
        <w:footnoteReference w:id="6"/>
      </w:r>
      <w:r>
        <w:rPr>
          <w:rFonts w:cs="Arial"/>
          <w:szCs w:val="24"/>
        </w:rPr>
        <w:t xml:space="preserve"> shall comprise:</w:t>
      </w:r>
    </w:p>
    <w:p>
      <w:pPr>
        <w:pStyle w:val="Numbered"/>
        <w:numPr>
          <w:ilvl w:val="4"/>
          <w:numId w:val="33"/>
        </w:numPr>
        <w:spacing w:after="200" w:line="360" w:lineRule="auto"/>
        <w:ind w:left="1418" w:hanging="709"/>
      </w:pPr>
      <w:r>
        <w:rPr>
          <w:rFonts w:cs="Arial"/>
          <w:szCs w:val="24"/>
        </w:rPr>
        <w:t>the signatories to the Memorandum;</w:t>
      </w:r>
    </w:p>
    <w:p>
      <w:pPr>
        <w:pStyle w:val="Numbered"/>
        <w:numPr>
          <w:ilvl w:val="4"/>
          <w:numId w:val="33"/>
        </w:numPr>
        <w:spacing w:after="200" w:line="360" w:lineRule="auto"/>
        <w:ind w:left="1418" w:hanging="709"/>
      </w:pPr>
      <w:r>
        <w:rPr>
          <w:rFonts w:cs="Arial"/>
          <w:szCs w:val="24"/>
        </w:rPr>
        <w:t>any person appointed under Article 15A,</w:t>
      </w:r>
    </w:p>
    <w:p>
      <w:pPr>
        <w:pStyle w:val="Numbered"/>
        <w:spacing w:after="200" w:line="360" w:lineRule="auto"/>
        <w:rPr>
          <w:rFonts w:cs="Arial"/>
          <w:szCs w:val="24"/>
        </w:rPr>
      </w:pPr>
      <w:proofErr w:type="gramStart"/>
      <w:r>
        <w:rPr>
          <w:rFonts w:cs="Arial"/>
          <w:szCs w:val="24"/>
        </w:rPr>
        <w:t>provided</w:t>
      </w:r>
      <w:proofErr w:type="gramEnd"/>
      <w:r>
        <w:rPr>
          <w:rFonts w:cs="Arial"/>
          <w:szCs w:val="24"/>
        </w:rPr>
        <w:t xml:space="preserve"> that at any time the minimum number of Members shall not be less than three.</w:t>
      </w:r>
    </w:p>
    <w:p>
      <w:pPr>
        <w:pStyle w:val="Numbered"/>
        <w:spacing w:after="200" w:line="360" w:lineRule="auto"/>
        <w:rPr>
          <w:rFonts w:cs="Arial"/>
          <w:szCs w:val="24"/>
        </w:rPr>
      </w:pPr>
      <w:r>
        <w:rPr>
          <w:rFonts w:cs="Arial"/>
          <w:szCs w:val="24"/>
        </w:rPr>
        <w:t>12A.</w:t>
      </w:r>
      <w:r>
        <w:rPr>
          <w:rFonts w:cs="Arial"/>
          <w:szCs w:val="24"/>
        </w:rPr>
        <w:tab/>
      </w:r>
      <w:proofErr w:type="gramStart"/>
      <w:r>
        <w:rPr>
          <w:rFonts w:cs="Arial"/>
          <w:szCs w:val="24"/>
        </w:rPr>
        <w:t>An</w:t>
      </w:r>
      <w:proofErr w:type="gramEnd"/>
      <w:r>
        <w:rPr>
          <w:rFonts w:cs="Arial"/>
          <w:szCs w:val="24"/>
        </w:rPr>
        <w:t xml:space="preserve"> employee of the Academy Trust cannot be a Member of the Academy Trust.</w:t>
      </w:r>
    </w:p>
    <w:p>
      <w:pPr>
        <w:pStyle w:val="DfESOutNumbered"/>
        <w:numPr>
          <w:ilvl w:val="0"/>
          <w:numId w:val="0"/>
        </w:numPr>
        <w:spacing w:after="200" w:line="360" w:lineRule="auto"/>
        <w:ind w:left="709" w:hanging="709"/>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pPr>
        <w:pStyle w:val="NormalWeb"/>
        <w:spacing w:after="200" w:line="360" w:lineRule="auto"/>
        <w:ind w:left="709" w:hanging="709"/>
      </w:pPr>
      <w:r>
        <w:t>14.</w:t>
      </w:r>
      <w:r>
        <w:tab/>
        <w:t>If any of the persons entitled to appoint Members in Article 12:</w:t>
      </w:r>
    </w:p>
    <w:p>
      <w:pPr>
        <w:pStyle w:val="Numbered"/>
        <w:numPr>
          <w:ilvl w:val="1"/>
          <w:numId w:val="35"/>
        </w:numPr>
        <w:tabs>
          <w:tab w:val="left" w:pos="360"/>
        </w:tabs>
        <w:spacing w:after="200" w:line="360" w:lineRule="auto"/>
        <w:ind w:left="1418" w:hanging="709"/>
        <w:rPr>
          <w:rFonts w:cs="Arial"/>
          <w:szCs w:val="24"/>
        </w:rPr>
      </w:pPr>
      <w:r>
        <w:rPr>
          <w:rFonts w:cs="Arial"/>
          <w:szCs w:val="24"/>
        </w:rPr>
        <w:t>in the case of an individual, die or become legally incapacitated;</w:t>
      </w:r>
    </w:p>
    <w:p>
      <w:pPr>
        <w:pStyle w:val="Numbered"/>
        <w:numPr>
          <w:ilvl w:val="1"/>
          <w:numId w:val="35"/>
        </w:numPr>
        <w:tabs>
          <w:tab w:val="left" w:pos="360"/>
          <w:tab w:val="left" w:pos="720"/>
        </w:tabs>
        <w:spacing w:after="200" w:line="360" w:lineRule="auto"/>
        <w:ind w:left="1418" w:hanging="709"/>
        <w:rPr>
          <w:rFonts w:cs="Arial"/>
          <w:szCs w:val="24"/>
        </w:rPr>
      </w:pPr>
      <w:r>
        <w:rPr>
          <w:rFonts w:cs="Arial"/>
          <w:szCs w:val="24"/>
        </w:rPr>
        <w:t>in the case of a corporate entity, cease to exist and are not replaced by a successor institution;</w:t>
      </w:r>
    </w:p>
    <w:p>
      <w:pPr>
        <w:pStyle w:val="Numbered"/>
        <w:numPr>
          <w:ilvl w:val="1"/>
          <w:numId w:val="35"/>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pPr>
        <w:pStyle w:val="Numbered"/>
        <w:numPr>
          <w:ilvl w:val="1"/>
          <w:numId w:val="35"/>
        </w:numPr>
        <w:tabs>
          <w:tab w:val="left" w:pos="360"/>
        </w:tabs>
        <w:spacing w:after="200" w:line="360" w:lineRule="auto"/>
        <w:ind w:left="1418" w:hanging="709"/>
        <w:rPr>
          <w:rFonts w:cs="Arial"/>
          <w:szCs w:val="24"/>
        </w:rPr>
      </w:pPr>
      <w:r>
        <w:rPr>
          <w:rFonts w:cs="Arial"/>
          <w:szCs w:val="24"/>
        </w:rPr>
        <w:t>ceases to themselves be a Member,</w:t>
      </w:r>
    </w:p>
    <w:p>
      <w:pPr>
        <w:pStyle w:val="Numbered"/>
        <w:spacing w:after="200" w:line="360" w:lineRule="auto"/>
        <w:ind w:left="709"/>
        <w:rPr>
          <w:rFonts w:cs="Arial"/>
          <w:szCs w:val="24"/>
        </w:rPr>
      </w:pPr>
      <w:proofErr w:type="gramStart"/>
      <w:r>
        <w:rPr>
          <w:rFonts w:cs="Arial"/>
          <w:szCs w:val="24"/>
        </w:rPr>
        <w:t>their</w:t>
      </w:r>
      <w:proofErr w:type="gramEnd"/>
      <w:r>
        <w:rPr>
          <w:rFonts w:cs="Arial"/>
          <w:szCs w:val="24"/>
        </w:rPr>
        <w:t xml:space="preserve"> right to appoint Members under these Articles shall vest in the remaining Members.</w:t>
      </w:r>
    </w:p>
    <w:p>
      <w:pPr>
        <w:pStyle w:val="Numbered"/>
        <w:spacing w:after="200" w:line="360" w:lineRule="auto"/>
        <w:ind w:left="709"/>
        <w:rPr>
          <w:rFonts w:cs="Arial"/>
          <w:szCs w:val="24"/>
        </w:rPr>
      </w:pPr>
    </w:p>
    <w:p>
      <w:pPr>
        <w:pStyle w:val="NormalWeb"/>
        <w:spacing w:after="200" w:line="360" w:lineRule="auto"/>
        <w:ind w:left="709" w:hanging="709"/>
      </w:pPr>
      <w:r>
        <w:t>15.</w:t>
      </w:r>
      <w:r>
        <w:tab/>
        <w:t>Membership will terminate automatically if:</w:t>
      </w:r>
    </w:p>
    <w:p>
      <w:pPr>
        <w:pStyle w:val="Numbered"/>
        <w:numPr>
          <w:ilvl w:val="0"/>
          <w:numId w:val="36"/>
        </w:numPr>
        <w:spacing w:after="200" w:line="360" w:lineRule="auto"/>
        <w:ind w:left="1418" w:hanging="709"/>
        <w:rPr>
          <w:rFonts w:cs="Arial"/>
          <w:szCs w:val="24"/>
        </w:rPr>
      </w:pPr>
      <w:r>
        <w:rPr>
          <w:rFonts w:cs="Arial"/>
          <w:szCs w:val="24"/>
        </w:rPr>
        <w:t>a Member (which is a corporate entity) ceases to exist and is not replaced by a successor institution;</w:t>
      </w:r>
    </w:p>
    <w:p>
      <w:pPr>
        <w:pStyle w:val="Numbered"/>
        <w:numPr>
          <w:ilvl w:val="0"/>
          <w:numId w:val="36"/>
        </w:numPr>
        <w:spacing w:after="200" w:line="360" w:lineRule="auto"/>
        <w:ind w:left="1418" w:hanging="709"/>
        <w:rPr>
          <w:rFonts w:cs="Arial"/>
          <w:szCs w:val="24"/>
        </w:rPr>
      </w:pPr>
      <w:r>
        <w:rPr>
          <w:rFonts w:cs="Arial"/>
          <w:szCs w:val="24"/>
        </w:rPr>
        <w:t>a Member (which is an individual) dies or becomes incapable by reason of illness or injury of managing and administering his or her own affairs; or</w:t>
      </w:r>
    </w:p>
    <w:p>
      <w:pPr>
        <w:pStyle w:val="Numbered"/>
        <w:numPr>
          <w:ilvl w:val="0"/>
          <w:numId w:val="36"/>
        </w:numPr>
        <w:spacing w:after="200" w:line="360" w:lineRule="auto"/>
        <w:ind w:left="1418" w:hanging="709"/>
        <w:rPr>
          <w:rFonts w:cs="Arial"/>
          <w:szCs w:val="24"/>
        </w:rPr>
      </w:pPr>
      <w:proofErr w:type="gramStart"/>
      <w:r>
        <w:rPr>
          <w:rFonts w:cs="Arial"/>
          <w:szCs w:val="24"/>
        </w:rPr>
        <w:t>a</w:t>
      </w:r>
      <w:proofErr w:type="gramEnd"/>
      <w:r>
        <w:rPr>
          <w:rFonts w:cs="Arial"/>
          <w:szCs w:val="24"/>
        </w:rPr>
        <w:t xml:space="preserve"> Member becomes insolvent  or makes any arrangement or composition with that Member’s creditors generally.</w:t>
      </w:r>
    </w:p>
    <w:p>
      <w:pPr>
        <w:pStyle w:val="DfESOutNumbered"/>
        <w:numPr>
          <w:ilvl w:val="0"/>
          <w:numId w:val="0"/>
        </w:numPr>
        <w:spacing w:after="200" w:line="360" w:lineRule="auto"/>
        <w:ind w:left="709" w:hanging="709"/>
      </w:pPr>
      <w:r>
        <w:rPr>
          <w:szCs w:val="24"/>
        </w:rPr>
        <w:t>15A.</w:t>
      </w:r>
      <w:r>
        <w:rPr>
          <w:szCs w:val="24"/>
        </w:rPr>
        <w:tab/>
      </w:r>
      <w:r>
        <w:rPr>
          <w:sz w:val="24"/>
          <w:szCs w:val="24"/>
        </w:rPr>
        <w:t>The Members may agree by passing a special resolution to appoint such additional Members as they think fit.</w:t>
      </w:r>
    </w:p>
    <w:p>
      <w:pPr>
        <w:pStyle w:val="DfESOutNumbered"/>
        <w:numPr>
          <w:ilvl w:val="0"/>
          <w:numId w:val="0"/>
        </w:numPr>
        <w:spacing w:after="200" w:line="360" w:lineRule="auto"/>
        <w:ind w:left="709" w:hanging="709"/>
        <w:rPr>
          <w:sz w:val="24"/>
          <w:szCs w:val="24"/>
        </w:rPr>
      </w:pPr>
      <w:r>
        <w:rPr>
          <w:sz w:val="24"/>
          <w:szCs w:val="24"/>
        </w:rPr>
        <w:t>16.</w:t>
      </w:r>
      <w:r>
        <w:rPr>
          <w:sz w:val="24"/>
          <w:szCs w:val="24"/>
        </w:rPr>
        <w:tab/>
        <w:t>In addition to Article 13, the Members may agree by passing a special resolution to remove any Member(s). The Member whose proposed removal is the subject of the resolution shall not be entitled to vote on that resolution.</w:t>
      </w:r>
    </w:p>
    <w:p>
      <w:pPr>
        <w:pStyle w:val="DfESOutNumbered"/>
        <w:numPr>
          <w:ilvl w:val="0"/>
          <w:numId w:val="0"/>
        </w:numPr>
        <w:spacing w:after="200" w:line="360" w:lineRule="auto"/>
        <w:ind w:left="709" w:hanging="709"/>
        <w:rPr>
          <w:sz w:val="24"/>
          <w:szCs w:val="24"/>
        </w:rPr>
      </w:pPr>
      <w:r>
        <w:rPr>
          <w:sz w:val="24"/>
          <w:szCs w:val="24"/>
        </w:rPr>
        <w:t>16A.</w:t>
      </w:r>
      <w:r>
        <w:rPr>
          <w:sz w:val="24"/>
          <w:szCs w:val="24"/>
        </w:rPr>
        <w:tab/>
      </w:r>
      <w:proofErr w:type="gramStart"/>
      <w:r>
        <w:rPr>
          <w:sz w:val="24"/>
          <w:szCs w:val="24"/>
        </w:rPr>
        <w:t>In</w:t>
      </w:r>
      <w:proofErr w:type="gramEnd"/>
      <w:r>
        <w:rPr>
          <w:sz w:val="24"/>
          <w:szCs w:val="24"/>
        </w:rPr>
        <w:t xml:space="preserve"> exercising their rights under these Articles and the Companies Act 2006, the Members shall not do anything or take any action which would cause the Academy Trust to contravene its Objects.</w:t>
      </w:r>
    </w:p>
    <w:p>
      <w:pPr>
        <w:pStyle w:val="DfESOutNumbered"/>
        <w:numPr>
          <w:ilvl w:val="0"/>
          <w:numId w:val="0"/>
        </w:numPr>
        <w:spacing w:after="200" w:line="360" w:lineRule="auto"/>
        <w:ind w:left="709" w:hanging="709"/>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pPr>
        <w:pStyle w:val="DfESOutNumbered"/>
        <w:numPr>
          <w:ilvl w:val="0"/>
          <w:numId w:val="0"/>
        </w:numPr>
        <w:spacing w:after="200" w:line="360" w:lineRule="auto"/>
        <w:ind w:left="709" w:hanging="709"/>
        <w:rPr>
          <w:sz w:val="24"/>
          <w:szCs w:val="24"/>
        </w:rPr>
      </w:pPr>
      <w:r>
        <w:rPr>
          <w:sz w:val="24"/>
          <w:szCs w:val="24"/>
        </w:rPr>
        <w:t>18.</w:t>
      </w:r>
      <w:r>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pPr>
        <w:pStyle w:val="Heading1"/>
        <w:pageBreakBefore w:val="0"/>
        <w:rPr>
          <w:color w:val="auto"/>
          <w:sz w:val="24"/>
        </w:rPr>
      </w:pPr>
      <w:bookmarkStart w:id="3" w:name="_Toc442359838"/>
      <w:r>
        <w:rPr>
          <w:color w:val="auto"/>
          <w:sz w:val="24"/>
        </w:rPr>
        <w:t>GENERAL MEETINGS</w:t>
      </w:r>
      <w:bookmarkEnd w:id="3"/>
    </w:p>
    <w:p>
      <w:pPr>
        <w:pStyle w:val="DfESOutNumbered"/>
        <w:numPr>
          <w:ilvl w:val="0"/>
          <w:numId w:val="0"/>
        </w:numPr>
        <w:spacing w:after="200" w:line="360" w:lineRule="auto"/>
        <w:ind w:left="709" w:hanging="709"/>
      </w:pPr>
      <w:r>
        <w:rPr>
          <w:sz w:val="24"/>
          <w:szCs w:val="24"/>
        </w:rPr>
        <w:t>19.</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pPr>
        <w:pStyle w:val="Heading1"/>
        <w:pageBreakBefore w:val="0"/>
        <w:widowControl w:val="0"/>
        <w:rPr>
          <w:color w:val="auto"/>
          <w:sz w:val="24"/>
        </w:rPr>
      </w:pPr>
      <w:bookmarkStart w:id="4" w:name="_Toc442359839"/>
      <w:r>
        <w:rPr>
          <w:color w:val="auto"/>
          <w:sz w:val="24"/>
        </w:rPr>
        <w:t>NOTICE OF GENERAL MEETINGS</w:t>
      </w:r>
      <w:bookmarkEnd w:id="4"/>
    </w:p>
    <w:p>
      <w:pPr>
        <w:pStyle w:val="DfESOutNumbered"/>
        <w:numPr>
          <w:ilvl w:val="0"/>
          <w:numId w:val="0"/>
        </w:numPr>
        <w:spacing w:after="200" w:line="360" w:lineRule="auto"/>
        <w:ind w:left="709" w:hanging="709"/>
        <w:rPr>
          <w:sz w:val="24"/>
          <w:szCs w:val="24"/>
        </w:rPr>
      </w:pPr>
      <w:r>
        <w:rPr>
          <w:sz w:val="24"/>
          <w:szCs w:val="24"/>
        </w:rPr>
        <w:t>21.</w:t>
      </w:r>
      <w:r>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pPr>
        <w:pStyle w:val="DfESOutNumbered"/>
        <w:numPr>
          <w:ilvl w:val="0"/>
          <w:numId w:val="0"/>
        </w:numPr>
        <w:spacing w:after="200" w:line="360" w:lineRule="auto"/>
        <w:ind w:left="709" w:hanging="709"/>
        <w:rPr>
          <w:sz w:val="24"/>
          <w:szCs w:val="24"/>
        </w:rPr>
      </w:pPr>
      <w:r>
        <w:rPr>
          <w:sz w:val="24"/>
          <w:szCs w:val="24"/>
        </w:rPr>
        <w:t>21A.</w:t>
      </w:r>
      <w:r>
        <w:rPr>
          <w:sz w:val="24"/>
          <w:szCs w:val="24"/>
        </w:rPr>
        <w:tab/>
      </w:r>
      <w:proofErr w:type="gramStart"/>
      <w:r>
        <w:rPr>
          <w:sz w:val="24"/>
          <w:szCs w:val="24"/>
        </w:rPr>
        <w:t>The</w:t>
      </w:r>
      <w:proofErr w:type="gramEnd"/>
      <w:r>
        <w:rPr>
          <w:sz w:val="24"/>
          <w:szCs w:val="24"/>
        </w:rPr>
        <w:t xml:space="preserve"> notice shall specify the time and place of the meeting and the general nature of the business to be transacted. The notice shall also state that the Member is entitled to appoint a proxy. The notice shall be given to all the Members, to the Trustees and auditors.</w:t>
      </w:r>
    </w:p>
    <w:p>
      <w:pPr>
        <w:pStyle w:val="DfESOutNumbered"/>
        <w:numPr>
          <w:ilvl w:val="0"/>
          <w:numId w:val="0"/>
        </w:numPr>
        <w:spacing w:after="200" w:line="360" w:lineRule="auto"/>
        <w:ind w:left="709" w:hanging="709"/>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pPr>
        <w:pStyle w:val="Heading1"/>
        <w:pageBreakBefore w:val="0"/>
        <w:widowControl w:val="0"/>
        <w:rPr>
          <w:color w:val="auto"/>
          <w:sz w:val="24"/>
        </w:rPr>
      </w:pPr>
      <w:bookmarkStart w:id="5" w:name="_Toc442359840"/>
      <w:r>
        <w:rPr>
          <w:color w:val="auto"/>
          <w:sz w:val="24"/>
        </w:rPr>
        <w:t>PROCEEDINGS AT GENERAL MEETINGS</w:t>
      </w:r>
      <w:bookmarkEnd w:id="5"/>
    </w:p>
    <w:p>
      <w:pPr>
        <w:pStyle w:val="DfESOutNumbered"/>
        <w:numPr>
          <w:ilvl w:val="0"/>
          <w:numId w:val="0"/>
        </w:numPr>
        <w:spacing w:after="200" w:line="360" w:lineRule="auto"/>
        <w:ind w:left="709" w:hanging="709"/>
        <w:rPr>
          <w:sz w:val="24"/>
          <w:szCs w:val="24"/>
        </w:rPr>
      </w:pPr>
      <w:r>
        <w:rPr>
          <w:sz w:val="24"/>
          <w:szCs w:val="24"/>
        </w:rPr>
        <w:t>23.</w:t>
      </w:r>
      <w:r>
        <w:rPr>
          <w:sz w:val="24"/>
          <w:szCs w:val="24"/>
        </w:rPr>
        <w:tab/>
        <w:t>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w:t>
      </w:r>
    </w:p>
    <w:p>
      <w:pPr>
        <w:pStyle w:val="DfESOutNumbered"/>
        <w:numPr>
          <w:ilvl w:val="0"/>
          <w:numId w:val="0"/>
        </w:numPr>
        <w:spacing w:after="200" w:line="360" w:lineRule="auto"/>
        <w:ind w:left="709" w:hanging="709"/>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pPr>
        <w:pStyle w:val="DfESOutNumbered"/>
        <w:numPr>
          <w:ilvl w:val="0"/>
          <w:numId w:val="0"/>
        </w:numPr>
        <w:spacing w:after="200" w:line="360" w:lineRule="auto"/>
        <w:ind w:left="709" w:hanging="709"/>
        <w:rPr>
          <w:sz w:val="24"/>
          <w:szCs w:val="24"/>
        </w:rPr>
      </w:pPr>
      <w:r>
        <w:rPr>
          <w:sz w:val="24"/>
          <w:szCs w:val="24"/>
        </w:rPr>
        <w:t>25.</w:t>
      </w:r>
      <w:r>
        <w:rPr>
          <w:sz w:val="24"/>
          <w:szCs w:val="24"/>
        </w:rPr>
        <w:tab/>
        <w:t>The Members present and entitled to vote at the meeting shall elect by ordinary resolution one of their number to be the chairman and such election shall be binding on all Members and Trustees present at the meeting.</w:t>
      </w:r>
    </w:p>
    <w:p>
      <w:pPr>
        <w:pStyle w:val="DfESOutNumbered"/>
        <w:numPr>
          <w:ilvl w:val="0"/>
          <w:numId w:val="0"/>
        </w:numPr>
        <w:spacing w:after="200" w:line="360" w:lineRule="auto"/>
        <w:rPr>
          <w:sz w:val="24"/>
          <w:szCs w:val="24"/>
        </w:rPr>
      </w:pPr>
      <w:r>
        <w:rPr>
          <w:sz w:val="24"/>
          <w:szCs w:val="24"/>
        </w:rPr>
        <w:t>26.</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27.</w:t>
      </w:r>
      <w:r>
        <w:rPr>
          <w:sz w:val="24"/>
          <w:szCs w:val="24"/>
        </w:rPr>
        <w:tab/>
        <w:t>A Trustee shall, notwithstanding that he is not a Member, be entitled to attend and speak at any General Meeting.</w:t>
      </w:r>
    </w:p>
    <w:p>
      <w:pPr>
        <w:pStyle w:val="DfESOutNumbered"/>
        <w:numPr>
          <w:ilvl w:val="0"/>
          <w:numId w:val="0"/>
        </w:numPr>
        <w:spacing w:after="200" w:line="360" w:lineRule="auto"/>
        <w:ind w:left="709" w:hanging="709"/>
        <w:rPr>
          <w:sz w:val="24"/>
          <w:szCs w:val="24"/>
        </w:rPr>
      </w:pPr>
      <w:r>
        <w:rPr>
          <w:sz w:val="24"/>
          <w:szCs w:val="24"/>
        </w:rPr>
        <w:t>28.</w:t>
      </w:r>
      <w:r>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pPr>
        <w:pStyle w:val="DfESOutNumbered"/>
        <w:numPr>
          <w:ilvl w:val="0"/>
          <w:numId w:val="0"/>
        </w:numPr>
        <w:spacing w:after="200" w:line="360" w:lineRule="auto"/>
        <w:ind w:left="709" w:hanging="709"/>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pPr>
        <w:pStyle w:val="TextIndent"/>
        <w:numPr>
          <w:ilvl w:val="2"/>
          <w:numId w:val="37"/>
        </w:numPr>
        <w:spacing w:after="200"/>
        <w:ind w:left="1418" w:hanging="709"/>
        <w:rPr>
          <w:rFonts w:cs="Arial"/>
          <w:szCs w:val="24"/>
          <w:lang w:val="en-GB"/>
        </w:rPr>
      </w:pPr>
      <w:r>
        <w:rPr>
          <w:rFonts w:cs="Arial"/>
          <w:szCs w:val="24"/>
          <w:lang w:val="en-GB"/>
        </w:rPr>
        <w:t>by the chairman; or</w:t>
      </w:r>
    </w:p>
    <w:p>
      <w:pPr>
        <w:pStyle w:val="TextIndent"/>
        <w:numPr>
          <w:ilvl w:val="2"/>
          <w:numId w:val="37"/>
        </w:numPr>
        <w:spacing w:after="200"/>
        <w:ind w:left="1418" w:hanging="709"/>
        <w:rPr>
          <w:rFonts w:cs="Arial"/>
          <w:szCs w:val="24"/>
          <w:lang w:val="en-GB"/>
        </w:rPr>
      </w:pPr>
      <w:r>
        <w:rPr>
          <w:rFonts w:cs="Arial"/>
          <w:szCs w:val="24"/>
          <w:lang w:val="en-GB"/>
        </w:rPr>
        <w:t>by at least two Members having the right to vote at the meeting; or</w:t>
      </w:r>
    </w:p>
    <w:p>
      <w:pPr>
        <w:pStyle w:val="TextIndent"/>
        <w:numPr>
          <w:ilvl w:val="2"/>
          <w:numId w:val="37"/>
        </w:numPr>
        <w:spacing w:after="200"/>
        <w:ind w:left="1418" w:hanging="709"/>
        <w:rPr>
          <w:rFonts w:cs="Arial"/>
          <w:szCs w:val="24"/>
          <w:lang w:val="en-GB"/>
        </w:rPr>
      </w:pPr>
      <w:proofErr w:type="gramStart"/>
      <w:r>
        <w:rPr>
          <w:rFonts w:cs="Arial"/>
          <w:szCs w:val="24"/>
          <w:lang w:val="en-GB"/>
        </w:rPr>
        <w:t>by</w:t>
      </w:r>
      <w:proofErr w:type="gramEnd"/>
      <w:r>
        <w:rPr>
          <w:rFonts w:cs="Arial"/>
          <w:szCs w:val="24"/>
          <w:lang w:val="en-GB"/>
        </w:rPr>
        <w:t xml:space="preserve"> a Member or Members representing not less than one-tenth of the total voting rights of all the Members having the right to vote at the meeting.</w:t>
      </w:r>
    </w:p>
    <w:p>
      <w:pPr>
        <w:pStyle w:val="DfESOutNumbered"/>
        <w:numPr>
          <w:ilvl w:val="0"/>
          <w:numId w:val="0"/>
        </w:numPr>
        <w:spacing w:after="200" w:line="360" w:lineRule="auto"/>
        <w:ind w:left="709" w:hanging="709"/>
        <w:rPr>
          <w:sz w:val="24"/>
          <w:szCs w:val="24"/>
        </w:rPr>
      </w:pPr>
      <w:r>
        <w:rPr>
          <w:sz w:val="24"/>
          <w:szCs w:val="24"/>
        </w:rPr>
        <w:t>30.</w:t>
      </w:r>
      <w:r>
        <w:rPr>
          <w:sz w:val="24"/>
          <w:szCs w:val="24"/>
        </w:rPr>
        <w:tab/>
        <w:t>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pPr>
        <w:pStyle w:val="DfESOutNumbered"/>
        <w:numPr>
          <w:ilvl w:val="0"/>
          <w:numId w:val="0"/>
        </w:numPr>
        <w:spacing w:after="200" w:line="360" w:lineRule="auto"/>
        <w:ind w:left="709" w:hanging="709"/>
        <w:rPr>
          <w:sz w:val="24"/>
          <w:szCs w:val="24"/>
        </w:rPr>
      </w:pPr>
      <w:r>
        <w:rPr>
          <w:sz w:val="24"/>
          <w:szCs w:val="24"/>
        </w:rPr>
        <w:t>31.</w:t>
      </w:r>
      <w:r>
        <w:rPr>
          <w:sz w:val="24"/>
          <w:szCs w:val="24"/>
        </w:rPr>
        <w:tab/>
        <w:t>The demand for a poll may be withdrawn, before the poll is taken, but only with the consent of the chairman. The withdrawal of a demand for a poll shall not invalidate the result of a show of hands declared before the demand for the poll was made.</w:t>
      </w:r>
    </w:p>
    <w:p>
      <w:pPr>
        <w:pStyle w:val="DfESOutNumbered"/>
        <w:numPr>
          <w:ilvl w:val="0"/>
          <w:numId w:val="0"/>
        </w:numPr>
        <w:spacing w:after="200" w:line="360" w:lineRule="auto"/>
        <w:ind w:left="709" w:hanging="709"/>
        <w:rPr>
          <w:sz w:val="24"/>
          <w:szCs w:val="24"/>
        </w:rPr>
      </w:pPr>
      <w:r>
        <w:rPr>
          <w:sz w:val="24"/>
          <w:szCs w:val="24"/>
        </w:rPr>
        <w:t>32.</w:t>
      </w:r>
      <w:r>
        <w:rPr>
          <w:sz w:val="24"/>
          <w:szCs w:val="24"/>
        </w:rPr>
        <w:tab/>
        <w:t>A poll shall be taken as the chairman directs and he may appoint scrutineers (who need not be Members) and fix a time, date and place for declaring the results. The result of the poll shall be deemed to be the resolution of the meeting at which the poll was demanded.</w:t>
      </w:r>
    </w:p>
    <w:p>
      <w:pPr>
        <w:pStyle w:val="DfESOutNumbered"/>
        <w:numPr>
          <w:ilvl w:val="0"/>
          <w:numId w:val="0"/>
        </w:numPr>
        <w:spacing w:after="200" w:line="360" w:lineRule="auto"/>
        <w:ind w:left="709" w:hanging="709"/>
        <w:rPr>
          <w:sz w:val="24"/>
          <w:szCs w:val="24"/>
        </w:rPr>
      </w:pPr>
      <w:r>
        <w:rPr>
          <w:sz w:val="24"/>
          <w:szCs w:val="24"/>
        </w:rPr>
        <w:t>33.</w:t>
      </w:r>
      <w:r>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pPr>
        <w:pStyle w:val="DfESOutNumbered"/>
        <w:numPr>
          <w:ilvl w:val="0"/>
          <w:numId w:val="0"/>
        </w:numPr>
        <w:spacing w:after="200" w:line="360" w:lineRule="auto"/>
        <w:ind w:left="709" w:hanging="709"/>
        <w:rPr>
          <w:sz w:val="24"/>
          <w:szCs w:val="24"/>
        </w:rPr>
      </w:pPr>
      <w:r>
        <w:rPr>
          <w:sz w:val="24"/>
          <w:szCs w:val="24"/>
        </w:rPr>
        <w:t>34.</w:t>
      </w:r>
      <w:r>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pPr>
        <w:pStyle w:val="DfESOutNumbered"/>
        <w:numPr>
          <w:ilvl w:val="0"/>
          <w:numId w:val="0"/>
        </w:numPr>
        <w:spacing w:after="200" w:line="360" w:lineRule="auto"/>
        <w:ind w:left="709" w:hanging="709"/>
        <w:rPr>
          <w:sz w:val="24"/>
          <w:szCs w:val="24"/>
        </w:rPr>
      </w:pPr>
      <w:r>
        <w:rPr>
          <w:sz w:val="24"/>
          <w:szCs w:val="24"/>
        </w:rPr>
        <w:t>35.</w:t>
      </w:r>
      <w:r>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pPr>
        <w:pStyle w:val="Numbered"/>
        <w:tabs>
          <w:tab w:val="left" w:pos="360"/>
        </w:tabs>
        <w:spacing w:after="200" w:line="360" w:lineRule="auto"/>
        <w:ind w:left="360" w:hanging="360"/>
        <w:rPr>
          <w:rFonts w:cs="Arial"/>
          <w:b/>
          <w:szCs w:val="24"/>
        </w:rPr>
      </w:pPr>
      <w:r>
        <w:rPr>
          <w:rFonts w:cs="Arial"/>
          <w:b/>
          <w:szCs w:val="24"/>
        </w:rPr>
        <w:t xml:space="preserve">VOTES OF MEMBERS </w:t>
      </w:r>
    </w:p>
    <w:p>
      <w:pPr>
        <w:pStyle w:val="DfESOutNumbered"/>
        <w:numPr>
          <w:ilvl w:val="0"/>
          <w:numId w:val="0"/>
        </w:numPr>
        <w:spacing w:after="200" w:line="360" w:lineRule="auto"/>
        <w:ind w:left="709" w:hanging="709"/>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pPr>
        <w:pStyle w:val="DfESOutNumbered"/>
        <w:numPr>
          <w:ilvl w:val="0"/>
          <w:numId w:val="0"/>
        </w:numPr>
        <w:spacing w:after="200" w:line="360" w:lineRule="auto"/>
        <w:rPr>
          <w:sz w:val="24"/>
          <w:szCs w:val="24"/>
        </w:rPr>
      </w:pPr>
      <w:r>
        <w:rPr>
          <w:sz w:val="24"/>
          <w:szCs w:val="24"/>
        </w:rPr>
        <w:t>37.</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38.</w:t>
      </w:r>
      <w:r>
        <w:rPr>
          <w:sz w:val="24"/>
          <w:szCs w:val="24"/>
        </w:rPr>
        <w:tab/>
        <w:t>No Member shall be entitled to vote at any General Meeting unless all moneys then payable by him to the Academy Trust have been paid.</w:t>
      </w:r>
    </w:p>
    <w:p>
      <w:pPr>
        <w:pStyle w:val="DfESOutNumbered"/>
        <w:numPr>
          <w:ilvl w:val="0"/>
          <w:numId w:val="0"/>
        </w:numPr>
        <w:spacing w:after="200" w:line="360" w:lineRule="auto"/>
        <w:ind w:left="709" w:hanging="709"/>
        <w:rPr>
          <w:sz w:val="24"/>
          <w:szCs w:val="24"/>
        </w:rPr>
      </w:pPr>
      <w:r>
        <w:rPr>
          <w:sz w:val="24"/>
          <w:szCs w:val="24"/>
        </w:rPr>
        <w:t>39.</w:t>
      </w:r>
      <w:r>
        <w:rPr>
          <w:sz w:val="24"/>
          <w:szCs w:val="24"/>
        </w:rPr>
        <w:tab/>
        <w:t xml:space="preserve">No objections shall be raised to the qualification of any person to vote at any General Meeting except at the meeting or adjourned meeting at which the vote objected to </w:t>
      </w:r>
      <w:proofErr w:type="gramStart"/>
      <w:r>
        <w:rPr>
          <w:sz w:val="24"/>
          <w:szCs w:val="24"/>
        </w:rPr>
        <w:t>is</w:t>
      </w:r>
      <w:proofErr w:type="gramEnd"/>
      <w:r>
        <w:rPr>
          <w:sz w:val="24"/>
          <w:szCs w:val="24"/>
        </w:rPr>
        <w:t xml:space="preserve"> tendered, and every vote not disallowed at the meeting shall be valid. Any objection made in due time shall be referred to the chairman whose decision shall be final and conclusive.</w:t>
      </w:r>
    </w:p>
    <w:p>
      <w:pPr>
        <w:pStyle w:val="DfESOutNumbered"/>
        <w:numPr>
          <w:ilvl w:val="0"/>
          <w:numId w:val="0"/>
        </w:numPr>
        <w:spacing w:after="200" w:line="360" w:lineRule="auto"/>
        <w:ind w:left="709" w:hanging="709"/>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pPr>
        <w:pStyle w:val="Numbered"/>
        <w:spacing w:after="200" w:line="360" w:lineRule="auto"/>
        <w:ind w:left="1080"/>
        <w:rPr>
          <w:rFonts w:cs="Arial"/>
          <w:szCs w:val="24"/>
        </w:rPr>
      </w:pPr>
      <w:r>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pPr>
        <w:pStyle w:val="Numbered"/>
        <w:spacing w:after="200" w:line="360" w:lineRule="auto"/>
        <w:ind w:left="720" w:firstLine="360"/>
        <w:rPr>
          <w:rFonts w:cs="Arial"/>
          <w:szCs w:val="24"/>
        </w:rPr>
      </w:pPr>
      <w:r>
        <w:rPr>
          <w:rFonts w:cs="Arial"/>
          <w:szCs w:val="24"/>
        </w:rPr>
        <w:t xml:space="preserve">Signed </w:t>
      </w:r>
      <w:proofErr w:type="gramStart"/>
      <w:r>
        <w:rPr>
          <w:rFonts w:cs="Arial"/>
          <w:szCs w:val="24"/>
        </w:rPr>
        <w:t>on  …</w:t>
      </w:r>
      <w:proofErr w:type="gramEnd"/>
      <w:r>
        <w:rPr>
          <w:rFonts w:cs="Arial"/>
          <w:szCs w:val="24"/>
        </w:rPr>
        <w:t>.. 20[  ]”</w:t>
      </w:r>
    </w:p>
    <w:p>
      <w:pPr>
        <w:pStyle w:val="DfESOutNumbered"/>
        <w:numPr>
          <w:ilvl w:val="0"/>
          <w:numId w:val="0"/>
        </w:numPr>
        <w:spacing w:after="200" w:line="360" w:lineRule="auto"/>
        <w:ind w:left="709" w:hanging="709"/>
        <w:rPr>
          <w:sz w:val="24"/>
          <w:szCs w:val="24"/>
        </w:rPr>
      </w:pPr>
      <w:r>
        <w:rPr>
          <w:sz w:val="24"/>
          <w:szCs w:val="24"/>
        </w:rPr>
        <w:t>41.</w:t>
      </w:r>
      <w:r>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pPr>
        <w:pStyle w:val="Numbered"/>
        <w:spacing w:after="200" w:line="360" w:lineRule="auto"/>
        <w:ind w:left="1080"/>
        <w:rPr>
          <w:rFonts w:cs="Arial"/>
          <w:szCs w:val="24"/>
        </w:rPr>
      </w:pPr>
      <w:r>
        <w:rPr>
          <w:rFonts w:cs="Arial"/>
          <w:szCs w:val="24"/>
        </w:rPr>
        <w:t>“I/We</w:t>
      </w:r>
      <w:proofErr w:type="gramStart"/>
      <w:r>
        <w:rPr>
          <w:rFonts w:cs="Arial"/>
          <w:szCs w:val="24"/>
        </w:rPr>
        <w:t>, …….,</w:t>
      </w:r>
      <w:proofErr w:type="gramEnd"/>
      <w:r>
        <w:rPr>
          <w:rFonts w:cs="Arial"/>
          <w:szCs w:val="24"/>
        </w:rPr>
        <w:t xml:space="preserve"> of ……., being a Member/Members of the above named Academy Trust, hereby appoint …. </w:t>
      </w:r>
      <w:proofErr w:type="gramStart"/>
      <w:r>
        <w:rPr>
          <w:rFonts w:cs="Arial"/>
          <w:szCs w:val="24"/>
        </w:rPr>
        <w:t>of</w:t>
      </w:r>
      <w:proofErr w:type="gramEnd"/>
      <w:r>
        <w:rPr>
          <w:rFonts w:cs="Arial"/>
          <w:szCs w:val="24"/>
        </w:rPr>
        <w:t xml:space="preserve"> ……., or in his absence, ….. </w:t>
      </w:r>
      <w:proofErr w:type="gramStart"/>
      <w:r>
        <w:rPr>
          <w:rFonts w:cs="Arial"/>
          <w:szCs w:val="24"/>
        </w:rPr>
        <w:t>of</w:t>
      </w:r>
      <w:proofErr w:type="gramEnd"/>
      <w:r>
        <w:rPr>
          <w:rFonts w:cs="Arial"/>
          <w:szCs w:val="24"/>
        </w:rPr>
        <w:t xml:space="preserve"> ……, as my/our proxy to attend, speak and vote in my/our name[s] and on my/our behalf at the annual general meeting/ general meeting of the Academy Trust, to be held on …. 20[  ], and at any adjournment thereof.</w:t>
      </w:r>
    </w:p>
    <w:p>
      <w:pPr>
        <w:pStyle w:val="Numbered"/>
        <w:spacing w:after="200" w:line="360" w:lineRule="auto"/>
        <w:ind w:left="1080"/>
        <w:rPr>
          <w:rFonts w:cs="Arial"/>
          <w:szCs w:val="24"/>
        </w:rPr>
      </w:pPr>
      <w:r>
        <w:rPr>
          <w:rFonts w:cs="Arial"/>
          <w:szCs w:val="24"/>
        </w:rPr>
        <w:t>This form is to be used in respect of the resolutions mentioned below as follows:</w:t>
      </w:r>
    </w:p>
    <w:p>
      <w:pPr>
        <w:pStyle w:val="Numbered"/>
        <w:spacing w:after="200" w:line="360" w:lineRule="auto"/>
        <w:ind w:left="720" w:firstLine="360"/>
        <w:rPr>
          <w:rFonts w:cs="Arial"/>
          <w:szCs w:val="24"/>
        </w:rPr>
      </w:pPr>
      <w:r>
        <w:rPr>
          <w:rFonts w:cs="Arial"/>
          <w:szCs w:val="24"/>
        </w:rPr>
        <w:t>Resolution No. 1 *for * against</w:t>
      </w:r>
    </w:p>
    <w:p>
      <w:pPr>
        <w:pStyle w:val="Numbered"/>
        <w:spacing w:after="200" w:line="360" w:lineRule="auto"/>
        <w:ind w:left="720" w:firstLine="360"/>
        <w:rPr>
          <w:rFonts w:cs="Arial"/>
          <w:szCs w:val="24"/>
        </w:rPr>
      </w:pPr>
      <w:r>
        <w:rPr>
          <w:rFonts w:cs="Arial"/>
          <w:szCs w:val="24"/>
        </w:rPr>
        <w:t>Resolution No. 2 *for * against.</w:t>
      </w:r>
    </w:p>
    <w:p>
      <w:pPr>
        <w:pStyle w:val="Numbered"/>
        <w:numPr>
          <w:ilvl w:val="1"/>
          <w:numId w:val="38"/>
        </w:numPr>
        <w:spacing w:after="200" w:line="360" w:lineRule="auto"/>
        <w:rPr>
          <w:rFonts w:cs="Arial"/>
          <w:szCs w:val="24"/>
        </w:rPr>
      </w:pPr>
      <w:r>
        <w:rPr>
          <w:rFonts w:cs="Arial"/>
          <w:szCs w:val="24"/>
        </w:rPr>
        <w:t>Strike out whichever is not desired.</w:t>
      </w:r>
    </w:p>
    <w:p>
      <w:pPr>
        <w:pStyle w:val="Numbered"/>
        <w:spacing w:after="200" w:line="360" w:lineRule="auto"/>
        <w:ind w:left="1134"/>
        <w:rPr>
          <w:rFonts w:cs="Arial"/>
          <w:szCs w:val="24"/>
        </w:rPr>
      </w:pPr>
      <w:r>
        <w:rPr>
          <w:rFonts w:cs="Arial"/>
          <w:szCs w:val="24"/>
        </w:rPr>
        <w:t>Unless otherwise instructed, the proxy may vote as he thinks fit or abstain from voting.</w:t>
      </w:r>
    </w:p>
    <w:p>
      <w:pPr>
        <w:spacing w:after="200" w:line="360" w:lineRule="auto"/>
        <w:ind w:left="1134"/>
      </w:pPr>
      <w:r>
        <w:t>Signed on</w:t>
      </w:r>
      <w:r>
        <w:tab/>
        <w:t>20[  ]”</w:t>
      </w:r>
    </w:p>
    <w:p>
      <w:pPr>
        <w:pStyle w:val="DfESOutNumbered"/>
        <w:numPr>
          <w:ilvl w:val="0"/>
          <w:numId w:val="0"/>
        </w:numPr>
        <w:spacing w:after="200" w:line="360" w:lineRule="auto"/>
        <w:ind w:left="851" w:hanging="851"/>
        <w:rPr>
          <w:sz w:val="24"/>
          <w:szCs w:val="24"/>
        </w:rPr>
      </w:pPr>
      <w:r>
        <w:rPr>
          <w:sz w:val="24"/>
          <w:szCs w:val="24"/>
        </w:rPr>
        <w:t>42.</w:t>
      </w:r>
      <w:r>
        <w:rPr>
          <w:sz w:val="24"/>
          <w:szCs w:val="24"/>
        </w:rPr>
        <w:tab/>
        <w:t>The instrument appointing a proxy and any authority under which it is signed or a copy of such authority certified by a notary or in some other way approved by the Trustees may:</w:t>
      </w:r>
    </w:p>
    <w:p>
      <w:pPr>
        <w:pStyle w:val="Numbered"/>
        <w:numPr>
          <w:ilvl w:val="0"/>
          <w:numId w:val="39"/>
        </w:numPr>
        <w:tabs>
          <w:tab w:val="left" w:pos="-2487"/>
        </w:tabs>
        <w:spacing w:after="200" w:line="360" w:lineRule="auto"/>
        <w:ind w:hanging="720"/>
        <w:rPr>
          <w:rFonts w:cs="Arial"/>
          <w:szCs w:val="24"/>
        </w:rPr>
      </w:pPr>
      <w:r>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pPr>
        <w:pStyle w:val="Numbered"/>
        <w:numPr>
          <w:ilvl w:val="0"/>
          <w:numId w:val="39"/>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pPr>
        <w:pStyle w:val="Numbered"/>
        <w:numPr>
          <w:ilvl w:val="0"/>
          <w:numId w:val="39"/>
        </w:numPr>
        <w:spacing w:after="200" w:line="360" w:lineRule="auto"/>
        <w:ind w:hanging="720"/>
        <w:rPr>
          <w:rFonts w:cs="Arial"/>
          <w:szCs w:val="24"/>
        </w:rPr>
      </w:pPr>
      <w:r>
        <w:rPr>
          <w:rFonts w:cs="Arial"/>
          <w:szCs w:val="24"/>
        </w:rPr>
        <w:t>where the poll is not taken forthwith but is taken not more than 48 hours after it was demanded, be delivered at the meeting at which the poll was demanded to the chairman or to the Clerk or to any Trustee,</w:t>
      </w:r>
    </w:p>
    <w:p>
      <w:pPr>
        <w:pStyle w:val="Numbered"/>
        <w:spacing w:after="200" w:line="360" w:lineRule="auto"/>
        <w:ind w:left="709"/>
        <w:rPr>
          <w:rFonts w:cs="Arial"/>
          <w:szCs w:val="24"/>
        </w:rPr>
      </w:pPr>
      <w:proofErr w:type="gramStart"/>
      <w:r>
        <w:rPr>
          <w:rFonts w:cs="Arial"/>
          <w:szCs w:val="24"/>
        </w:rPr>
        <w:t>and</w:t>
      </w:r>
      <w:proofErr w:type="gramEnd"/>
      <w:r>
        <w:rPr>
          <w:rFonts w:cs="Arial"/>
          <w:szCs w:val="24"/>
        </w:rPr>
        <w:t xml:space="preserve"> an instrument of proxy which is not deposited or delivered in a manner so permitted shall be invalid.</w:t>
      </w:r>
    </w:p>
    <w:p>
      <w:pPr>
        <w:pStyle w:val="DfESOutNumbered"/>
        <w:numPr>
          <w:ilvl w:val="0"/>
          <w:numId w:val="0"/>
        </w:numPr>
        <w:spacing w:after="200" w:line="360" w:lineRule="auto"/>
        <w:ind w:left="709" w:hanging="709"/>
        <w:rPr>
          <w:sz w:val="24"/>
          <w:szCs w:val="24"/>
        </w:rPr>
      </w:pPr>
      <w:r>
        <w:rPr>
          <w:sz w:val="24"/>
          <w:szCs w:val="24"/>
        </w:rPr>
        <w:t>43.</w:t>
      </w:r>
      <w:r>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pPr>
        <w:pStyle w:val="DfESOutNumbered"/>
        <w:numPr>
          <w:ilvl w:val="0"/>
          <w:numId w:val="0"/>
        </w:numPr>
        <w:spacing w:after="200" w:line="360" w:lineRule="auto"/>
        <w:ind w:left="709" w:hanging="709"/>
        <w:rPr>
          <w:sz w:val="24"/>
          <w:szCs w:val="24"/>
        </w:rPr>
      </w:pPr>
      <w:r>
        <w:rPr>
          <w:sz w:val="24"/>
          <w:szCs w:val="24"/>
        </w:rPr>
        <w:t>44.</w:t>
      </w:r>
      <w:r>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pPr>
        <w:pStyle w:val="DfESOutNumbered"/>
        <w:numPr>
          <w:ilvl w:val="0"/>
          <w:numId w:val="0"/>
        </w:numPr>
        <w:spacing w:after="200" w:line="360" w:lineRule="auto"/>
        <w:rPr>
          <w:b/>
          <w:sz w:val="24"/>
          <w:szCs w:val="24"/>
        </w:rPr>
      </w:pPr>
      <w:r>
        <w:rPr>
          <w:b/>
          <w:sz w:val="24"/>
          <w:szCs w:val="24"/>
        </w:rPr>
        <w:t>TRUSTEES</w:t>
      </w:r>
    </w:p>
    <w:p>
      <w:pPr>
        <w:pStyle w:val="DfESOutNumbered"/>
        <w:numPr>
          <w:ilvl w:val="0"/>
          <w:numId w:val="0"/>
        </w:numPr>
        <w:spacing w:after="200" w:line="360" w:lineRule="auto"/>
        <w:ind w:left="709" w:hanging="709"/>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pPr>
        <w:pStyle w:val="DfESOutNumbered"/>
        <w:numPr>
          <w:ilvl w:val="0"/>
          <w:numId w:val="0"/>
        </w:numPr>
        <w:spacing w:after="200" w:line="360" w:lineRule="auto"/>
        <w:ind w:left="709" w:hanging="709"/>
        <w:rPr>
          <w:sz w:val="24"/>
          <w:szCs w:val="24"/>
        </w:rPr>
      </w:pPr>
      <w:r>
        <w:rPr>
          <w:sz w:val="24"/>
          <w:szCs w:val="24"/>
        </w:rPr>
        <w:t>46.</w:t>
      </w:r>
      <w:r>
        <w:rPr>
          <w:sz w:val="24"/>
          <w:szCs w:val="24"/>
        </w:rPr>
        <w:tab/>
        <w:t>Subject to Articles 48-49 and 53, the Academy Trust shall have the following Trustees:</w:t>
      </w:r>
    </w:p>
    <w:p>
      <w:pPr>
        <w:pStyle w:val="DfESOutNumbered"/>
        <w:numPr>
          <w:ilvl w:val="0"/>
          <w:numId w:val="40"/>
        </w:numPr>
        <w:spacing w:after="200" w:line="360" w:lineRule="auto"/>
        <w:ind w:left="1418" w:hanging="709"/>
        <w:rPr>
          <w:sz w:val="24"/>
          <w:szCs w:val="24"/>
        </w:rPr>
      </w:pPr>
      <w:r>
        <w:rPr>
          <w:sz w:val="24"/>
          <w:szCs w:val="24"/>
        </w:rPr>
        <w:t xml:space="preserve">up to 8 Trustees, appointed under Article 50; </w:t>
      </w:r>
    </w:p>
    <w:p>
      <w:pPr>
        <w:pStyle w:val="DfESOutNumbered"/>
        <w:numPr>
          <w:ilvl w:val="0"/>
          <w:numId w:val="40"/>
        </w:numPr>
        <w:spacing w:after="200" w:line="360" w:lineRule="auto"/>
        <w:ind w:left="1418" w:hanging="709"/>
        <w:rPr>
          <w:sz w:val="24"/>
          <w:szCs w:val="24"/>
        </w:rPr>
      </w:pPr>
      <w:r>
        <w:rPr>
          <w:sz w:val="24"/>
          <w:szCs w:val="24"/>
        </w:rPr>
        <w:t>subject to Article 6.8, the Chief Executive Officer, if appointed as a Trustee under Article 57; and</w:t>
      </w:r>
    </w:p>
    <w:p>
      <w:pPr>
        <w:pStyle w:val="DfESOutNumbered"/>
        <w:numPr>
          <w:ilvl w:val="0"/>
          <w:numId w:val="40"/>
        </w:numPr>
        <w:spacing w:after="200" w:line="360" w:lineRule="auto"/>
        <w:ind w:left="1418" w:hanging="709"/>
      </w:pPr>
      <w:proofErr w:type="gramStart"/>
      <w:r>
        <w:rPr>
          <w:sz w:val="24"/>
          <w:szCs w:val="24"/>
        </w:rPr>
        <w:t>a</w:t>
      </w:r>
      <w:proofErr w:type="gramEnd"/>
      <w:r>
        <w:rPr>
          <w:sz w:val="24"/>
          <w:szCs w:val="24"/>
        </w:rPr>
        <w:t xml:space="preserve"> minimum of 2 Parent Trustees elected or appointed under Articles 53-56 </w:t>
      </w:r>
      <w:r>
        <w:rPr>
          <w:szCs w:val="22"/>
        </w:rPr>
        <w:t xml:space="preserve"> </w:t>
      </w:r>
      <w:r>
        <w:rPr>
          <w:sz w:val="24"/>
          <w:szCs w:val="24"/>
        </w:rPr>
        <w:t>in the event that no Local Governing Bodies are established under Article 100a or if no provision is made for at least 2 Parent Local Governors on each established Local Governing Body pursuant to Article 101A.</w:t>
      </w:r>
    </w:p>
    <w:p>
      <w:pPr>
        <w:pStyle w:val="DfESOutNumbered"/>
        <w:numPr>
          <w:ilvl w:val="0"/>
          <w:numId w:val="0"/>
        </w:numPr>
        <w:spacing w:after="200" w:line="360" w:lineRule="auto"/>
        <w:ind w:left="709" w:hanging="709"/>
        <w:rPr>
          <w:sz w:val="24"/>
          <w:szCs w:val="24"/>
        </w:rPr>
      </w:pPr>
      <w:r>
        <w:rPr>
          <w:sz w:val="24"/>
          <w:szCs w:val="24"/>
        </w:rPr>
        <w:t>47.</w:t>
      </w:r>
      <w:r>
        <w:rPr>
          <w:sz w:val="24"/>
          <w:szCs w:val="24"/>
        </w:rPr>
        <w:tab/>
        <w:t>The Academy Trust may also have any Co-opted Trustee appointed under Article 58.</w:t>
      </w:r>
    </w:p>
    <w:p>
      <w:pPr>
        <w:pStyle w:val="DfESOutNumbered"/>
        <w:numPr>
          <w:ilvl w:val="0"/>
          <w:numId w:val="0"/>
        </w:numPr>
        <w:spacing w:after="200" w:line="360" w:lineRule="auto"/>
        <w:ind w:left="709" w:hanging="709"/>
        <w:rPr>
          <w:sz w:val="24"/>
          <w:szCs w:val="24"/>
        </w:rPr>
      </w:pPr>
      <w:r>
        <w:rPr>
          <w:sz w:val="24"/>
          <w:szCs w:val="24"/>
        </w:rPr>
        <w:t>48.</w:t>
      </w:r>
      <w:r>
        <w:rPr>
          <w:sz w:val="24"/>
          <w:szCs w:val="24"/>
        </w:rPr>
        <w:tab/>
        <w:t>The first Trustees shall be those persons named in the statement delivered pursuant to sections 9 and 12 of the Companies Act 2006.</w:t>
      </w:r>
    </w:p>
    <w:p>
      <w:pPr>
        <w:pStyle w:val="DfESOutNumbered"/>
        <w:numPr>
          <w:ilvl w:val="0"/>
          <w:numId w:val="0"/>
        </w:numPr>
        <w:spacing w:after="200" w:line="360" w:lineRule="auto"/>
        <w:ind w:left="709" w:hanging="709"/>
        <w:rPr>
          <w:sz w:val="24"/>
          <w:szCs w:val="24"/>
        </w:rPr>
      </w:pPr>
      <w:r>
        <w:rPr>
          <w:sz w:val="24"/>
          <w:szCs w:val="24"/>
        </w:rPr>
        <w:t>49.</w:t>
      </w:r>
      <w:r>
        <w:rPr>
          <w:sz w:val="24"/>
          <w:szCs w:val="24"/>
        </w:rPr>
        <w:tab/>
        <w:t>Future Trustees shall be appointed or elected, as the case may be, under these Articles. Where it is not possible for such a Trustee to be appointed or elected due to the fact that an Academy has not yet been established, then the relevant Article or part thereof shall not apply.</w:t>
      </w:r>
    </w:p>
    <w:p>
      <w:pPr>
        <w:pStyle w:val="DfESOutNumbered"/>
        <w:numPr>
          <w:ilvl w:val="0"/>
          <w:numId w:val="0"/>
        </w:numPr>
        <w:spacing w:after="200" w:line="360" w:lineRule="auto"/>
        <w:rPr>
          <w:b/>
          <w:sz w:val="24"/>
          <w:szCs w:val="24"/>
        </w:rPr>
      </w:pPr>
      <w:r>
        <w:rPr>
          <w:b/>
          <w:sz w:val="24"/>
          <w:szCs w:val="24"/>
        </w:rPr>
        <w:t>APPOINTMENT OF TRUSTEES</w:t>
      </w:r>
    </w:p>
    <w:p>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8 Trustees.</w:t>
      </w:r>
    </w:p>
    <w:p>
      <w:pPr>
        <w:pStyle w:val="DfESOutNumbered"/>
        <w:numPr>
          <w:ilvl w:val="0"/>
          <w:numId w:val="0"/>
        </w:numPr>
        <w:spacing w:after="200" w:line="360" w:lineRule="auto"/>
        <w:rPr>
          <w:sz w:val="24"/>
          <w:szCs w:val="24"/>
        </w:rPr>
      </w:pPr>
      <w:r>
        <w:rPr>
          <w:sz w:val="24"/>
          <w:szCs w:val="24"/>
        </w:rPr>
        <w:t>50A.</w:t>
      </w:r>
      <w:r>
        <w:rPr>
          <w:sz w:val="24"/>
          <w:szCs w:val="24"/>
        </w:rPr>
        <w:tab/>
      </w:r>
      <w:proofErr w:type="gramStart"/>
      <w:r>
        <w:rPr>
          <w:sz w:val="24"/>
          <w:szCs w:val="24"/>
        </w:rPr>
        <w:t>Not</w:t>
      </w:r>
      <w:proofErr w:type="gramEnd"/>
      <w:r>
        <w:rPr>
          <w:sz w:val="24"/>
          <w:szCs w:val="24"/>
        </w:rPr>
        <w:t xml:space="preserve"> used;</w:t>
      </w:r>
    </w:p>
    <w:p>
      <w:pPr>
        <w:pStyle w:val="DfESOutNumbered"/>
        <w:numPr>
          <w:ilvl w:val="0"/>
          <w:numId w:val="0"/>
        </w:numPr>
        <w:spacing w:after="200" w:line="360" w:lineRule="auto"/>
        <w:ind w:left="709" w:hanging="709"/>
        <w:rPr>
          <w:sz w:val="24"/>
          <w:szCs w:val="24"/>
        </w:rPr>
      </w:pPr>
      <w:r>
        <w:rPr>
          <w:sz w:val="24"/>
          <w:szCs w:val="24"/>
        </w:rPr>
        <w:t>50B.</w:t>
      </w:r>
      <w:r>
        <w:rPr>
          <w:sz w:val="24"/>
          <w:szCs w:val="24"/>
        </w:rPr>
        <w:tab/>
        <w:t>The total number of Trustees including the Chief Executive Officer if they so choose to act as Trustee under Article 57 who are employees of the Academy Trust shall not exceed one third of the total number of Trustees.</w:t>
      </w:r>
    </w:p>
    <w:p>
      <w:pPr>
        <w:pStyle w:val="DfESOutNumbered"/>
        <w:numPr>
          <w:ilvl w:val="0"/>
          <w:numId w:val="0"/>
        </w:numPr>
        <w:spacing w:after="200" w:line="360" w:lineRule="auto"/>
        <w:rPr>
          <w:sz w:val="24"/>
          <w:szCs w:val="24"/>
        </w:rPr>
      </w:pPr>
      <w:r>
        <w:rPr>
          <w:sz w:val="24"/>
          <w:szCs w:val="24"/>
        </w:rPr>
        <w:t>51.</w:t>
      </w:r>
      <w:r>
        <w:rPr>
          <w:sz w:val="24"/>
          <w:szCs w:val="24"/>
        </w:rPr>
        <w:tab/>
        <w:t>Not used.</w:t>
      </w:r>
    </w:p>
    <w:p>
      <w:pPr>
        <w:pStyle w:val="DfESOutNumbered"/>
        <w:numPr>
          <w:ilvl w:val="0"/>
          <w:numId w:val="0"/>
        </w:numPr>
        <w:spacing w:after="200" w:line="360" w:lineRule="auto"/>
        <w:rPr>
          <w:sz w:val="24"/>
          <w:szCs w:val="24"/>
        </w:rPr>
      </w:pPr>
      <w:r>
        <w:rPr>
          <w:sz w:val="24"/>
          <w:szCs w:val="24"/>
        </w:rPr>
        <w:t>52.</w:t>
      </w:r>
      <w:r>
        <w:rPr>
          <w:sz w:val="24"/>
          <w:szCs w:val="24"/>
        </w:rPr>
        <w:tab/>
        <w:t>Not used.</w:t>
      </w:r>
    </w:p>
    <w:p>
      <w:pPr>
        <w:pStyle w:val="Heading1"/>
        <w:pageBreakBefore w:val="0"/>
        <w:rPr>
          <w:b w:val="0"/>
          <w:color w:val="auto"/>
          <w:sz w:val="24"/>
        </w:rPr>
      </w:pPr>
      <w:bookmarkStart w:id="6" w:name="_Toc442359841"/>
      <w:r>
        <w:rPr>
          <w:color w:val="auto"/>
          <w:sz w:val="24"/>
        </w:rPr>
        <w:t>PARENT TRUSTEES</w:t>
      </w:r>
      <w:bookmarkEnd w:id="6"/>
      <w:r>
        <w:rPr>
          <w:color w:val="auto"/>
          <w:sz w:val="24"/>
        </w:rPr>
        <w:t xml:space="preserve"> </w:t>
      </w:r>
    </w:p>
    <w:p>
      <w:pPr>
        <w:pStyle w:val="DfESOutNumbered"/>
        <w:numPr>
          <w:ilvl w:val="0"/>
          <w:numId w:val="0"/>
        </w:numPr>
        <w:spacing w:after="200" w:line="360" w:lineRule="auto"/>
        <w:ind w:left="709" w:hanging="709"/>
      </w:pPr>
      <w:r>
        <w:rPr>
          <w:sz w:val="24"/>
          <w:szCs w:val="24"/>
        </w:rPr>
        <w:t>53.</w:t>
      </w:r>
      <w:r>
        <w:rPr>
          <w:sz w:val="24"/>
          <w:szCs w:val="24"/>
        </w:rPr>
        <w:tab/>
        <w:t>In circumstances where the Trustees have not appointed Local Governing Bodies in respect of the Academies as envisaged in Article 100a or if no provision is made for at least 2 Parent Local Governors on each established Local Governing Body pursuant to Article 101A</w:t>
      </w:r>
      <w:r>
        <w:rPr>
          <w:szCs w:val="22"/>
        </w:rPr>
        <w:t xml:space="preserve"> </w:t>
      </w:r>
      <w:r>
        <w:rPr>
          <w:sz w:val="24"/>
          <w:szCs w:val="24"/>
        </w:rPr>
        <w:t>there shall be a minimum of two Parent Trustees</w:t>
      </w:r>
      <w:r>
        <w:rPr>
          <w:szCs w:val="22"/>
        </w:rPr>
        <w:t xml:space="preserve"> </w:t>
      </w:r>
      <w:r>
        <w:rPr>
          <w:sz w:val="24"/>
          <w:szCs w:val="24"/>
        </w:rPr>
        <w:t>and otherwise such number as the Members shall decide who shall be appointed or elected in accordance with Articles 54 - 56.</w:t>
      </w:r>
    </w:p>
    <w:p>
      <w:pPr>
        <w:pStyle w:val="DfESOutNumbered"/>
        <w:numPr>
          <w:ilvl w:val="0"/>
          <w:numId w:val="0"/>
        </w:numPr>
        <w:spacing w:after="200" w:line="360" w:lineRule="auto"/>
        <w:ind w:left="709" w:hanging="709"/>
        <w:rPr>
          <w:sz w:val="24"/>
          <w:szCs w:val="24"/>
        </w:rPr>
      </w:pPr>
      <w:r>
        <w:rPr>
          <w:sz w:val="24"/>
          <w:szCs w:val="24"/>
        </w:rPr>
        <w:t>54.</w:t>
      </w:r>
      <w:r>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w:t>
      </w:r>
    </w:p>
    <w:p>
      <w:pPr>
        <w:spacing w:after="200" w:line="360" w:lineRule="auto"/>
        <w:ind w:left="709" w:hanging="709"/>
      </w:pPr>
      <w:r>
        <w:t>54AA</w:t>
      </w:r>
      <w: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w:t>
      </w:r>
    </w:p>
    <w:p>
      <w:pPr>
        <w:pStyle w:val="DfESOutNumbered"/>
        <w:numPr>
          <w:ilvl w:val="0"/>
          <w:numId w:val="0"/>
        </w:numPr>
        <w:spacing w:after="200" w:line="360" w:lineRule="auto"/>
        <w:ind w:left="709" w:hanging="709"/>
        <w:rPr>
          <w:sz w:val="24"/>
          <w:szCs w:val="24"/>
        </w:rPr>
      </w:pPr>
      <w:r>
        <w:rPr>
          <w:sz w:val="24"/>
          <w:szCs w:val="24"/>
        </w:rPr>
        <w:t>54A.</w:t>
      </w:r>
      <w:r>
        <w:rPr>
          <w:sz w:val="24"/>
          <w:szCs w:val="24"/>
        </w:rPr>
        <w:tab/>
        <w:t>The number of Parent Trustees and Parent Local Governors required shall be made up by Parent Trustees and Parent Local Governors appointed by the Trustees if the number of parents, or individuals exercising parental responsibility, standing for election is less than the number of vacancies.</w:t>
      </w:r>
    </w:p>
    <w:p>
      <w:pPr>
        <w:pStyle w:val="DfESOutNumbered"/>
        <w:numPr>
          <w:ilvl w:val="0"/>
          <w:numId w:val="0"/>
        </w:numPr>
        <w:spacing w:after="200" w:line="360" w:lineRule="auto"/>
        <w:ind w:left="709" w:hanging="709"/>
        <w:rPr>
          <w:sz w:val="24"/>
          <w:szCs w:val="24"/>
        </w:rPr>
      </w:pPr>
      <w:r>
        <w:rPr>
          <w:sz w:val="24"/>
          <w:szCs w:val="24"/>
        </w:rPr>
        <w:t>55.</w:t>
      </w:r>
      <w:r>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pPr>
        <w:pStyle w:val="DfESOutNumbered"/>
        <w:numPr>
          <w:ilvl w:val="0"/>
          <w:numId w:val="0"/>
        </w:numPr>
        <w:spacing w:after="200" w:line="360" w:lineRule="auto"/>
        <w:ind w:left="709" w:hanging="709"/>
        <w:rPr>
          <w:sz w:val="24"/>
          <w:szCs w:val="24"/>
        </w:rPr>
      </w:pPr>
      <w:r>
        <w:rPr>
          <w:sz w:val="24"/>
          <w:szCs w:val="24"/>
        </w:rPr>
        <w:t>56.</w:t>
      </w:r>
      <w:r>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pPr>
        <w:pStyle w:val="DfESOutNumbered"/>
        <w:numPr>
          <w:ilvl w:val="0"/>
          <w:numId w:val="0"/>
        </w:numPr>
        <w:spacing w:after="200" w:line="360" w:lineRule="auto"/>
        <w:ind w:left="709" w:hanging="709"/>
        <w:rPr>
          <w:sz w:val="24"/>
          <w:szCs w:val="24"/>
        </w:rPr>
      </w:pPr>
    </w:p>
    <w:p>
      <w:pPr>
        <w:pStyle w:val="DfESOutNumbered"/>
        <w:numPr>
          <w:ilvl w:val="0"/>
          <w:numId w:val="0"/>
        </w:numPr>
        <w:spacing w:after="200" w:line="360" w:lineRule="auto"/>
        <w:ind w:left="709" w:hanging="709"/>
        <w:rPr>
          <w:sz w:val="24"/>
          <w:szCs w:val="24"/>
        </w:rPr>
      </w:pPr>
    </w:p>
    <w:p>
      <w:pPr>
        <w:pStyle w:val="DfESOutNumbered"/>
        <w:numPr>
          <w:ilvl w:val="0"/>
          <w:numId w:val="0"/>
        </w:numPr>
        <w:spacing w:after="200" w:line="360" w:lineRule="auto"/>
        <w:ind w:left="709" w:hanging="709"/>
        <w:rPr>
          <w:b/>
          <w:sz w:val="24"/>
          <w:szCs w:val="24"/>
        </w:rPr>
      </w:pPr>
      <w:r>
        <w:rPr>
          <w:b/>
          <w:sz w:val="24"/>
          <w:szCs w:val="24"/>
        </w:rPr>
        <w:t xml:space="preserve"> CHIEF EXECUTIVE OFFICER</w:t>
      </w:r>
    </w:p>
    <w:p>
      <w:pPr>
        <w:pStyle w:val="DfESOutNumbered"/>
        <w:numPr>
          <w:ilvl w:val="0"/>
          <w:numId w:val="0"/>
        </w:numPr>
        <w:spacing w:after="200" w:line="360" w:lineRule="auto"/>
        <w:ind w:left="709" w:hanging="709"/>
        <w:rPr>
          <w:sz w:val="24"/>
          <w:szCs w:val="24"/>
        </w:rPr>
      </w:pPr>
      <w:r>
        <w:rPr>
          <w:sz w:val="24"/>
          <w:szCs w:val="24"/>
        </w:rPr>
        <w:t>57.</w:t>
      </w:r>
      <w:r>
        <w:rPr>
          <w:sz w:val="24"/>
          <w:szCs w:val="24"/>
        </w:rPr>
        <w:tab/>
        <w:t xml:space="preserve">Providing that the Chief Executive Officer agrees so to act, the Members may by ordinary resolution appoint the Chief Executive Officer as a Trustee. </w:t>
      </w:r>
    </w:p>
    <w:p>
      <w:pPr>
        <w:pStyle w:val="Heading1"/>
        <w:pageBreakBefore w:val="0"/>
        <w:widowControl w:val="0"/>
        <w:rPr>
          <w:color w:val="auto"/>
          <w:sz w:val="24"/>
        </w:rPr>
      </w:pPr>
      <w:bookmarkStart w:id="7" w:name="_Toc442359842"/>
      <w:r>
        <w:rPr>
          <w:color w:val="auto"/>
          <w:sz w:val="24"/>
        </w:rPr>
        <w:t>CO-OPTED TRUSTEES</w:t>
      </w:r>
      <w:bookmarkEnd w:id="7"/>
    </w:p>
    <w:p>
      <w:pPr>
        <w:pStyle w:val="DfESOutNumbered"/>
        <w:numPr>
          <w:ilvl w:val="0"/>
          <w:numId w:val="0"/>
        </w:numPr>
        <w:spacing w:after="200" w:line="360" w:lineRule="auto"/>
        <w:ind w:left="709" w:hanging="709"/>
        <w:rPr>
          <w:sz w:val="24"/>
          <w:szCs w:val="24"/>
        </w:rPr>
      </w:pPr>
      <w:r>
        <w:rPr>
          <w:sz w:val="24"/>
          <w:szCs w:val="24"/>
        </w:rPr>
        <w:t>58.</w:t>
      </w:r>
      <w:r>
        <w:rPr>
          <w:sz w:val="24"/>
          <w:szCs w:val="24"/>
        </w:rPr>
        <w:tab/>
        <w:t>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 to the extent he or she is a Trustee.</w:t>
      </w:r>
    </w:p>
    <w:p>
      <w:pPr>
        <w:pStyle w:val="DfESOutNumbered"/>
        <w:numPr>
          <w:ilvl w:val="0"/>
          <w:numId w:val="0"/>
        </w:numPr>
        <w:spacing w:after="200" w:line="360" w:lineRule="auto"/>
        <w:rPr>
          <w:sz w:val="24"/>
          <w:szCs w:val="24"/>
        </w:rPr>
      </w:pPr>
      <w:r>
        <w:rPr>
          <w:sz w:val="24"/>
          <w:szCs w:val="24"/>
        </w:rPr>
        <w:t>59 – 63. Not used.</w:t>
      </w:r>
      <w:bookmarkStart w:id="8" w:name="_Toc442359843"/>
    </w:p>
    <w:p>
      <w:pPr>
        <w:pStyle w:val="Heading1"/>
        <w:pageBreakBefore w:val="0"/>
        <w:widowControl w:val="0"/>
        <w:rPr>
          <w:color w:val="auto"/>
          <w:sz w:val="24"/>
        </w:rPr>
      </w:pPr>
      <w:r>
        <w:rPr>
          <w:color w:val="auto"/>
          <w:sz w:val="24"/>
        </w:rPr>
        <w:t>TERM OF OFFICE</w:t>
      </w:r>
      <w:bookmarkEnd w:id="8"/>
    </w:p>
    <w:p>
      <w:pPr>
        <w:pStyle w:val="DfESOutNumbered"/>
        <w:numPr>
          <w:ilvl w:val="0"/>
          <w:numId w:val="0"/>
        </w:numPr>
        <w:spacing w:after="200" w:line="360" w:lineRule="auto"/>
        <w:ind w:left="709" w:hanging="709"/>
      </w:pPr>
      <w:r>
        <w:rPr>
          <w:sz w:val="24"/>
          <w:szCs w:val="24"/>
        </w:rPr>
        <w:t>64.</w:t>
      </w:r>
      <w:r>
        <w:rPr>
          <w:sz w:val="24"/>
          <w:szCs w:val="24"/>
        </w:rPr>
        <w:tab/>
      </w:r>
      <w:r>
        <w:rPr>
          <w:sz w:val="24"/>
        </w:rPr>
        <w:t>The term of office for any Trustee shall be four years, save that this time limit shall not apply to any post which is held ex officio. Subject to remaining eligible to be a particular type of Trustee, any Trustee may be re-appointed or re-elected at a General Meeting</w:t>
      </w:r>
      <w:r>
        <w:rPr>
          <w:rStyle w:val="FootnoteReference"/>
          <w:sz w:val="24"/>
        </w:rPr>
        <w:footnoteReference w:id="7"/>
      </w:r>
      <w:r>
        <w:rPr>
          <w:sz w:val="24"/>
        </w:rPr>
        <w:t>.</w:t>
      </w:r>
    </w:p>
    <w:p>
      <w:pPr>
        <w:pStyle w:val="DfESOutNumbered"/>
        <w:numPr>
          <w:ilvl w:val="0"/>
          <w:numId w:val="0"/>
        </w:numPr>
        <w:spacing w:after="200" w:line="360" w:lineRule="auto"/>
        <w:rPr>
          <w:b/>
          <w:sz w:val="24"/>
          <w:szCs w:val="24"/>
        </w:rPr>
      </w:pPr>
      <w:r>
        <w:rPr>
          <w:b/>
          <w:sz w:val="24"/>
          <w:szCs w:val="24"/>
        </w:rPr>
        <w:t>RESIGNATION AND REMOVAL</w:t>
      </w:r>
    </w:p>
    <w:p>
      <w:pPr>
        <w:pStyle w:val="DfESOutNumbered"/>
        <w:numPr>
          <w:ilvl w:val="0"/>
          <w:numId w:val="0"/>
        </w:numPr>
        <w:spacing w:after="200" w:line="360" w:lineRule="auto"/>
        <w:ind w:left="709" w:hanging="709"/>
        <w:rPr>
          <w:sz w:val="24"/>
          <w:szCs w:val="24"/>
        </w:rPr>
      </w:pPr>
      <w:r>
        <w:rPr>
          <w:sz w:val="24"/>
          <w:szCs w:val="24"/>
        </w:rPr>
        <w:t>65.</w:t>
      </w:r>
      <w:r>
        <w:rPr>
          <w:sz w:val="24"/>
          <w:szCs w:val="24"/>
        </w:rPr>
        <w:tab/>
        <w:t>A Trustee shall cease to hold office if he resigns his office by notice to the Academy Trust (but only if at least three Trustees will remain in office when the notice of resignation is to take effect).</w:t>
      </w:r>
    </w:p>
    <w:p>
      <w:pPr>
        <w:pStyle w:val="DfESOutNumbered"/>
        <w:numPr>
          <w:ilvl w:val="0"/>
          <w:numId w:val="0"/>
        </w:numPr>
        <w:spacing w:after="200" w:line="360" w:lineRule="auto"/>
        <w:ind w:left="709" w:hanging="709"/>
        <w:rPr>
          <w:sz w:val="24"/>
          <w:szCs w:val="24"/>
        </w:rPr>
      </w:pPr>
      <w:r>
        <w:rPr>
          <w:sz w:val="24"/>
          <w:szCs w:val="24"/>
        </w:rPr>
        <w:t>66.</w:t>
      </w:r>
      <w:r>
        <w:rPr>
          <w:sz w:val="24"/>
          <w:szCs w:val="24"/>
        </w:rPr>
        <w:tab/>
        <w:t>A Trustee shall cease to hold office if he is removed by the person or persons who appointed or elected him, or otherwise by ordinary resolution of the Members in accordance with the Companies Act 2006.</w:t>
      </w:r>
    </w:p>
    <w:p>
      <w:pPr>
        <w:pStyle w:val="DfESOutNumbered"/>
        <w:numPr>
          <w:ilvl w:val="0"/>
          <w:numId w:val="0"/>
        </w:numPr>
        <w:spacing w:after="200" w:line="360" w:lineRule="auto"/>
        <w:ind w:left="709" w:hanging="709"/>
        <w:rPr>
          <w:sz w:val="24"/>
          <w:szCs w:val="24"/>
        </w:rPr>
      </w:pPr>
      <w:r>
        <w:rPr>
          <w:sz w:val="24"/>
          <w:szCs w:val="24"/>
        </w:rPr>
        <w:t>67.</w:t>
      </w:r>
      <w:r>
        <w:rPr>
          <w:sz w:val="24"/>
          <w:szCs w:val="24"/>
        </w:rPr>
        <w:tab/>
        <w:t>Where a Trustee resigns his office or is removed from office, the Trustee or, where he is removed from office, those removing him, shall give written notice thereof to the Clerk.</w:t>
      </w:r>
    </w:p>
    <w:p>
      <w:pPr>
        <w:pStyle w:val="Heading1"/>
        <w:pageBreakBefore w:val="0"/>
        <w:widowControl w:val="0"/>
        <w:rPr>
          <w:color w:val="auto"/>
          <w:sz w:val="24"/>
        </w:rPr>
      </w:pPr>
      <w:bookmarkStart w:id="9" w:name="_Toc442359844"/>
      <w:r>
        <w:rPr>
          <w:color w:val="auto"/>
          <w:sz w:val="24"/>
        </w:rPr>
        <w:t>SUSPENSION</w:t>
      </w:r>
      <w:bookmarkEnd w:id="9"/>
    </w:p>
    <w:p>
      <w:pPr>
        <w:pStyle w:val="DeptBullets"/>
        <w:numPr>
          <w:ilvl w:val="0"/>
          <w:numId w:val="0"/>
        </w:numPr>
        <w:spacing w:after="200" w:line="360" w:lineRule="auto"/>
        <w:ind w:left="709" w:hanging="709"/>
        <w:rPr>
          <w:rFonts w:cs="Arial"/>
          <w:szCs w:val="24"/>
        </w:rPr>
      </w:pPr>
      <w:r>
        <w:rPr>
          <w:rFonts w:cs="Arial"/>
          <w:szCs w:val="24"/>
        </w:rPr>
        <w:t>67A – 67E. Not used.</w:t>
      </w:r>
    </w:p>
    <w:p>
      <w:pPr>
        <w:pStyle w:val="Heading1"/>
        <w:pageBreakBefore w:val="0"/>
        <w:rPr>
          <w:b w:val="0"/>
          <w:color w:val="auto"/>
          <w:sz w:val="24"/>
        </w:rPr>
      </w:pPr>
      <w:bookmarkStart w:id="10" w:name="_Toc442359845"/>
      <w:r>
        <w:rPr>
          <w:color w:val="auto"/>
          <w:sz w:val="24"/>
        </w:rPr>
        <w:t>DISQUALIFICATION OF TRUSTEES</w:t>
      </w:r>
      <w:bookmarkEnd w:id="10"/>
    </w:p>
    <w:p>
      <w:pPr>
        <w:pStyle w:val="DfESOutNumbered"/>
        <w:numPr>
          <w:ilvl w:val="0"/>
          <w:numId w:val="0"/>
        </w:numPr>
        <w:spacing w:after="200" w:line="360" w:lineRule="auto"/>
        <w:ind w:left="709" w:hanging="709"/>
        <w:rPr>
          <w:sz w:val="24"/>
          <w:szCs w:val="24"/>
        </w:rPr>
      </w:pPr>
      <w:r>
        <w:rPr>
          <w:sz w:val="24"/>
          <w:szCs w:val="24"/>
        </w:rPr>
        <w:t>68.</w:t>
      </w:r>
      <w:r>
        <w:rPr>
          <w:sz w:val="24"/>
          <w:szCs w:val="24"/>
        </w:rPr>
        <w:tab/>
        <w:t>No person shall be qualified to be a Trustee unless he is aged 18 or over at the date of his election or appointment. No current pupil or current student of any of the Academies shall be a Trustee.</w:t>
      </w:r>
    </w:p>
    <w:p>
      <w:pPr>
        <w:pStyle w:val="DfESOutNumbered"/>
        <w:numPr>
          <w:ilvl w:val="0"/>
          <w:numId w:val="0"/>
        </w:numPr>
        <w:spacing w:after="200" w:line="360" w:lineRule="auto"/>
        <w:ind w:left="709" w:hanging="709"/>
        <w:rPr>
          <w:sz w:val="24"/>
          <w:szCs w:val="24"/>
        </w:rPr>
      </w:pPr>
      <w:r>
        <w:rPr>
          <w:sz w:val="24"/>
          <w:szCs w:val="24"/>
        </w:rPr>
        <w:t>69.</w:t>
      </w:r>
      <w:r>
        <w:rPr>
          <w:sz w:val="24"/>
          <w:szCs w:val="24"/>
        </w:rPr>
        <w:tab/>
        <w:t>A Trustee shall cease to hold office if he becomes incapable by reason of illness or injury of managing or administering his own affairs.</w:t>
      </w:r>
    </w:p>
    <w:p>
      <w:pPr>
        <w:pStyle w:val="DfESOutNumbered"/>
        <w:numPr>
          <w:ilvl w:val="0"/>
          <w:numId w:val="0"/>
        </w:numPr>
        <w:spacing w:after="200" w:line="360" w:lineRule="auto"/>
        <w:ind w:left="709" w:hanging="709"/>
        <w:rPr>
          <w:sz w:val="24"/>
          <w:szCs w:val="24"/>
        </w:rPr>
      </w:pPr>
      <w:r>
        <w:rPr>
          <w:sz w:val="24"/>
          <w:szCs w:val="24"/>
        </w:rPr>
        <w:t>70.</w:t>
      </w:r>
      <w:r>
        <w:rPr>
          <w:sz w:val="24"/>
          <w:szCs w:val="24"/>
        </w:rPr>
        <w:tab/>
        <w:t>A Trustee shall cease to hold office if he is absent without the permission of the Trustees from all their meetings held within a period of six months and the Trustees resolve that his office be vacated.</w:t>
      </w:r>
    </w:p>
    <w:p>
      <w:pPr>
        <w:pStyle w:val="DfESOutNumbered"/>
        <w:numPr>
          <w:ilvl w:val="0"/>
          <w:numId w:val="0"/>
        </w:numPr>
        <w:spacing w:after="200" w:line="360" w:lineRule="auto"/>
        <w:ind w:left="709" w:hanging="709"/>
        <w:rPr>
          <w:sz w:val="24"/>
          <w:szCs w:val="24"/>
        </w:rPr>
      </w:pPr>
      <w:r>
        <w:rPr>
          <w:sz w:val="24"/>
          <w:szCs w:val="24"/>
        </w:rPr>
        <w:t>71.</w:t>
      </w:r>
      <w:r>
        <w:rPr>
          <w:sz w:val="24"/>
          <w:szCs w:val="24"/>
        </w:rPr>
        <w:tab/>
        <w:t>A person shall be disqualified from holding or continuing to hold office as a Trustee if -</w:t>
      </w:r>
    </w:p>
    <w:p>
      <w:pPr>
        <w:pStyle w:val="Numbered"/>
        <w:numPr>
          <w:ilvl w:val="1"/>
          <w:numId w:val="41"/>
        </w:numPr>
        <w:spacing w:after="200" w:line="360" w:lineRule="auto"/>
        <w:ind w:hanging="731"/>
        <w:rPr>
          <w:rFonts w:cs="Arial"/>
          <w:szCs w:val="24"/>
        </w:rPr>
      </w:pPr>
      <w:r>
        <w:rPr>
          <w:rFonts w:cs="Arial"/>
          <w:szCs w:val="24"/>
        </w:rPr>
        <w:t>he has been declared bankrupt and/or his estate has been seized from his possession for the benefit of his creditors and the declaration or seizure has not been discharged, annulled or reduced; or</w:t>
      </w:r>
    </w:p>
    <w:p>
      <w:pPr>
        <w:pStyle w:val="Numbered"/>
        <w:numPr>
          <w:ilvl w:val="1"/>
          <w:numId w:val="41"/>
        </w:numPr>
        <w:spacing w:after="200" w:line="360" w:lineRule="auto"/>
        <w:ind w:hanging="731"/>
        <w:rPr>
          <w:rFonts w:cs="Arial"/>
          <w:szCs w:val="24"/>
        </w:rPr>
      </w:pPr>
      <w:proofErr w:type="gramStart"/>
      <w:r>
        <w:rPr>
          <w:rFonts w:cs="Arial"/>
          <w:szCs w:val="24"/>
        </w:rPr>
        <w:t>he</w:t>
      </w:r>
      <w:proofErr w:type="gramEnd"/>
      <w:r>
        <w:rPr>
          <w:rFonts w:cs="Arial"/>
          <w:szCs w:val="24"/>
        </w:rPr>
        <w:t xml:space="preserve"> is the subject of a bankruptcy restrictions order or an interim order.</w:t>
      </w:r>
    </w:p>
    <w:p>
      <w:pPr>
        <w:pStyle w:val="DfESOutNumbered"/>
        <w:numPr>
          <w:ilvl w:val="0"/>
          <w:numId w:val="0"/>
        </w:numPr>
        <w:spacing w:after="200" w:line="360" w:lineRule="auto"/>
        <w:ind w:left="709" w:hanging="709"/>
        <w:rPr>
          <w:sz w:val="24"/>
          <w:szCs w:val="24"/>
        </w:rPr>
      </w:pPr>
      <w:r>
        <w:rPr>
          <w:sz w:val="24"/>
          <w:szCs w:val="24"/>
        </w:rPr>
        <w:t>72.</w:t>
      </w:r>
      <w:r>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w:t>
      </w:r>
      <w:proofErr w:type="gramStart"/>
      <w:r>
        <w:rPr>
          <w:sz w:val="24"/>
          <w:szCs w:val="24"/>
        </w:rPr>
        <w:t>)(</w:t>
      </w:r>
      <w:proofErr w:type="gramEnd"/>
      <w:r>
        <w:rPr>
          <w:sz w:val="24"/>
          <w:szCs w:val="24"/>
        </w:rPr>
        <w:t>b) of the Insolvency Act 1986 (failure to pay under county court administration order).</w:t>
      </w:r>
    </w:p>
    <w:p>
      <w:pPr>
        <w:pStyle w:val="DfESOutNumbered"/>
        <w:numPr>
          <w:ilvl w:val="0"/>
          <w:numId w:val="0"/>
        </w:numPr>
        <w:spacing w:after="200" w:line="360" w:lineRule="auto"/>
        <w:ind w:left="709" w:hanging="709"/>
      </w:pPr>
      <w:r>
        <w:rPr>
          <w:sz w:val="24"/>
          <w:szCs w:val="24"/>
        </w:rPr>
        <w:t>73.</w:t>
      </w:r>
      <w:r>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p>
    <w:p>
      <w:pPr>
        <w:pStyle w:val="DfESOutNumbered"/>
        <w:keepNext/>
        <w:keepLines/>
        <w:widowControl/>
        <w:numPr>
          <w:ilvl w:val="0"/>
          <w:numId w:val="0"/>
        </w:numPr>
        <w:spacing w:after="200" w:line="360" w:lineRule="auto"/>
        <w:ind w:left="709" w:hanging="709"/>
        <w:rPr>
          <w:sz w:val="24"/>
          <w:szCs w:val="24"/>
        </w:rPr>
      </w:pPr>
      <w:r>
        <w:rPr>
          <w:sz w:val="24"/>
          <w:szCs w:val="24"/>
        </w:rPr>
        <w:t>74.</w:t>
      </w:r>
      <w:r>
        <w:rPr>
          <w:sz w:val="24"/>
          <w:szCs w:val="24"/>
        </w:rPr>
        <w:tab/>
        <w:t>A person shall be disqualified from holding or continuing to hold office as a Trustee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pPr>
        <w:pStyle w:val="DfESOutNumbered"/>
        <w:numPr>
          <w:ilvl w:val="0"/>
          <w:numId w:val="0"/>
        </w:numPr>
        <w:spacing w:after="200" w:line="360" w:lineRule="auto"/>
        <w:rPr>
          <w:sz w:val="24"/>
          <w:szCs w:val="24"/>
        </w:rPr>
      </w:pPr>
      <w:r>
        <w:rPr>
          <w:sz w:val="24"/>
          <w:szCs w:val="24"/>
        </w:rPr>
        <w:t>75.</w:t>
      </w:r>
      <w:r>
        <w:rPr>
          <w:sz w:val="24"/>
          <w:szCs w:val="24"/>
        </w:rPr>
        <w:tab/>
        <w:t>Not used.</w:t>
      </w:r>
    </w:p>
    <w:p>
      <w:pPr>
        <w:pStyle w:val="DfESOutNumbered"/>
        <w:numPr>
          <w:ilvl w:val="0"/>
          <w:numId w:val="0"/>
        </w:numPr>
        <w:spacing w:after="200" w:line="360" w:lineRule="auto"/>
        <w:rPr>
          <w:sz w:val="24"/>
          <w:szCs w:val="24"/>
        </w:rPr>
      </w:pPr>
      <w:r>
        <w:rPr>
          <w:sz w:val="24"/>
          <w:szCs w:val="24"/>
        </w:rPr>
        <w:t>76.</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77.</w:t>
      </w:r>
      <w:r>
        <w:rPr>
          <w:sz w:val="24"/>
          <w:szCs w:val="24"/>
        </w:rPr>
        <w:tab/>
        <w:t>A person shall be disqualified from holding or continuing to hold office as a 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pPr>
        <w:pStyle w:val="DfESOutNumbered"/>
        <w:numPr>
          <w:ilvl w:val="0"/>
          <w:numId w:val="0"/>
        </w:numPr>
        <w:spacing w:after="200" w:line="360" w:lineRule="auto"/>
        <w:ind w:left="709" w:hanging="709"/>
      </w:pPr>
      <w:r>
        <w:rPr>
          <w:sz w:val="24"/>
          <w:szCs w:val="24"/>
        </w:rPr>
        <w:t>78.</w:t>
      </w:r>
      <w:r>
        <w:rPr>
          <w:sz w:val="24"/>
          <w:szCs w:val="24"/>
        </w:rPr>
        <w:tab/>
        <w:t>After the first Academy has opened, a</w:t>
      </w:r>
      <w:r>
        <w:rPr>
          <w:sz w:val="24"/>
          <w:szCs w:val="24"/>
          <w:lang w:eastAsia="en-GB"/>
        </w:rPr>
        <w:t xml:space="preserve"> person shall be disqualified from holding or continuing to hold office as a Trustee if he has not provided to the chairman of the Trustees </w:t>
      </w:r>
      <w:bookmarkStart w:id="11" w:name="_DV_M232"/>
      <w:bookmarkStart w:id="12" w:name="_DV_M233"/>
      <w:bookmarkStart w:id="13" w:name="_DV_M235"/>
      <w:bookmarkEnd w:id="11"/>
      <w:bookmarkEnd w:id="12"/>
      <w:bookmarkEnd w:id="13"/>
      <w:r>
        <w:rPr>
          <w:sz w:val="24"/>
          <w:szCs w:val="24"/>
          <w:lang w:eastAsia="en-GB"/>
        </w:rPr>
        <w:t xml:space="preserve">a criminal records certificate at an enhanced disclosure level under section 113B of the Police Act 1997. </w:t>
      </w:r>
      <w:r>
        <w:rPr>
          <w:sz w:val="24"/>
          <w:szCs w:val="24"/>
        </w:rPr>
        <w:t>In the event that the certificate discloses any information which would in the opinion of either the chairman or the Chief Executive Officer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pPr>
        <w:pStyle w:val="DfESOutNumbered"/>
        <w:numPr>
          <w:ilvl w:val="0"/>
          <w:numId w:val="0"/>
        </w:numPr>
        <w:spacing w:after="200" w:line="360" w:lineRule="auto"/>
        <w:ind w:left="709" w:hanging="709"/>
        <w:rPr>
          <w:sz w:val="24"/>
          <w:szCs w:val="24"/>
        </w:rPr>
      </w:pPr>
      <w:r>
        <w:rPr>
          <w:sz w:val="24"/>
          <w:szCs w:val="24"/>
        </w:rPr>
        <w:t>79.</w:t>
      </w:r>
      <w:r>
        <w:rPr>
          <w:sz w:val="24"/>
          <w:szCs w:val="24"/>
        </w:rPr>
        <w:tab/>
        <w:t>Where, by virtue of these Articles a person becomes disqualified from holding, or continuing to hold office as a Trustee; and he is, or is proposed, to become such a Trustee, he shall upon becoming so disqualified give written notice of that fact to the Clerk.</w:t>
      </w:r>
    </w:p>
    <w:p>
      <w:pPr>
        <w:pStyle w:val="DfESOutNumbered"/>
        <w:keepNext/>
        <w:keepLines/>
        <w:widowControl/>
        <w:numPr>
          <w:ilvl w:val="0"/>
          <w:numId w:val="0"/>
        </w:numPr>
        <w:spacing w:after="200" w:line="360" w:lineRule="auto"/>
        <w:ind w:left="709" w:hanging="709"/>
      </w:pPr>
      <w:r>
        <w:rPr>
          <w:sz w:val="24"/>
          <w:szCs w:val="24"/>
        </w:rPr>
        <w:t>80.</w:t>
      </w:r>
      <w:r>
        <w:rPr>
          <w:sz w:val="24"/>
          <w:szCs w:val="24"/>
        </w:rPr>
        <w:tab/>
        <w:t>Articles 68 to 74, Articles 77 to 79 and Articles 97 to 98 also apply to any member of any committee or delegate of the Trustees, including a Local Governing Body who is not a Trustee.</w:t>
      </w:r>
    </w:p>
    <w:p>
      <w:pPr>
        <w:pStyle w:val="Heading1"/>
        <w:pageBreakBefore w:val="0"/>
        <w:widowControl w:val="0"/>
        <w:rPr>
          <w:color w:val="auto"/>
          <w:sz w:val="24"/>
        </w:rPr>
      </w:pPr>
      <w:bookmarkStart w:id="14" w:name="_Toc442359846"/>
      <w:r>
        <w:rPr>
          <w:color w:val="auto"/>
          <w:sz w:val="24"/>
        </w:rPr>
        <w:t>CLERK TO THE TRUSTEES</w:t>
      </w:r>
      <w:bookmarkEnd w:id="14"/>
    </w:p>
    <w:p>
      <w:pPr>
        <w:pStyle w:val="DfESOutNumbered"/>
        <w:numPr>
          <w:ilvl w:val="0"/>
          <w:numId w:val="0"/>
        </w:numPr>
        <w:spacing w:after="200" w:line="360" w:lineRule="auto"/>
        <w:ind w:left="709" w:hanging="709"/>
      </w:pPr>
      <w:r>
        <w:rPr>
          <w:sz w:val="24"/>
          <w:szCs w:val="24"/>
        </w:rPr>
        <w:t>81.</w:t>
      </w:r>
      <w:r>
        <w:rPr>
          <w:sz w:val="24"/>
          <w:szCs w:val="24"/>
        </w:rPr>
        <w:tab/>
        <w:t>The Clerk shall be appointed by the Trustees for such term, at such remuneration and upon such conditions as they may think fit; and any Clerk so appointed may be removed by them. The Clerk shall not be a Trustee, or the Chief Executive Officer or a Principal.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pPr>
        <w:pStyle w:val="Heading1"/>
        <w:pageBreakBefore w:val="0"/>
        <w:widowControl w:val="0"/>
        <w:rPr>
          <w:color w:val="auto"/>
          <w:sz w:val="24"/>
        </w:rPr>
      </w:pPr>
      <w:bookmarkStart w:id="15" w:name="_Toc442359847"/>
      <w:r>
        <w:rPr>
          <w:color w:val="auto"/>
          <w:sz w:val="24"/>
        </w:rPr>
        <w:t>CHAIRMAN AND VICE-CHAIRMAN OF THE TRUSTEES</w:t>
      </w:r>
      <w:bookmarkEnd w:id="15"/>
      <w:r>
        <w:rPr>
          <w:color w:val="auto"/>
          <w:sz w:val="24"/>
        </w:rPr>
        <w:t xml:space="preserve"> </w:t>
      </w:r>
    </w:p>
    <w:p>
      <w:pPr>
        <w:pStyle w:val="DfESOutNumbered"/>
        <w:numPr>
          <w:ilvl w:val="0"/>
          <w:numId w:val="0"/>
        </w:numPr>
        <w:spacing w:after="200" w:line="360" w:lineRule="auto"/>
        <w:ind w:left="709" w:hanging="709"/>
        <w:rPr>
          <w:sz w:val="24"/>
          <w:szCs w:val="24"/>
        </w:rPr>
      </w:pPr>
      <w:r>
        <w:rPr>
          <w:sz w:val="24"/>
          <w:szCs w:val="24"/>
        </w:rPr>
        <w:t>82.</w:t>
      </w:r>
      <w:r>
        <w:rPr>
          <w:sz w:val="24"/>
          <w:szCs w:val="24"/>
        </w:rPr>
        <w:tab/>
        <w:t>The Trustees shall each school year elect a chairman and a vice-chairman from among their number. A Trustee who is employed by the Academy Trust shall not be eligible for election as chairman or vice-chairman.</w:t>
      </w:r>
    </w:p>
    <w:p>
      <w:pPr>
        <w:pStyle w:val="DfESOutNumbered"/>
        <w:numPr>
          <w:ilvl w:val="0"/>
          <w:numId w:val="0"/>
        </w:numPr>
        <w:spacing w:after="200" w:line="360" w:lineRule="auto"/>
        <w:ind w:left="709" w:hanging="709"/>
        <w:rPr>
          <w:sz w:val="24"/>
          <w:szCs w:val="24"/>
        </w:rPr>
      </w:pPr>
      <w:r>
        <w:rPr>
          <w:sz w:val="24"/>
          <w:szCs w:val="24"/>
        </w:rPr>
        <w:t>83.</w:t>
      </w:r>
      <w:r>
        <w:rPr>
          <w:sz w:val="24"/>
          <w:szCs w:val="24"/>
        </w:rPr>
        <w:tab/>
        <w:t>Subject to Article 84, the chairman or vice-chairman shall hold office as such until his successor has been elected in accordance with Article 85.</w:t>
      </w:r>
    </w:p>
    <w:p>
      <w:pPr>
        <w:pStyle w:val="DfESOutNumbered"/>
        <w:numPr>
          <w:ilvl w:val="0"/>
          <w:numId w:val="0"/>
        </w:numPr>
        <w:spacing w:after="200" w:line="360" w:lineRule="auto"/>
        <w:ind w:left="709" w:hanging="709"/>
        <w:rPr>
          <w:sz w:val="24"/>
          <w:szCs w:val="24"/>
        </w:rPr>
      </w:pPr>
      <w:r>
        <w:rPr>
          <w:sz w:val="24"/>
          <w:szCs w:val="24"/>
        </w:rPr>
        <w:t>84.</w:t>
      </w:r>
      <w:r>
        <w:rPr>
          <w:sz w:val="24"/>
          <w:szCs w:val="24"/>
        </w:rPr>
        <w:tab/>
        <w:t xml:space="preserve">The chairman or vice-chairman may at any time resign his office by giving notice in writing to the Clerk. The chairman or vice-chairman shall cease to hold office if: </w:t>
      </w:r>
    </w:p>
    <w:p>
      <w:pPr>
        <w:pStyle w:val="DfESOutNumbered"/>
        <w:numPr>
          <w:ilvl w:val="0"/>
          <w:numId w:val="42"/>
        </w:numPr>
        <w:spacing w:after="200" w:line="360" w:lineRule="auto"/>
        <w:ind w:hanging="720"/>
        <w:rPr>
          <w:sz w:val="24"/>
          <w:szCs w:val="24"/>
        </w:rPr>
      </w:pPr>
      <w:r>
        <w:rPr>
          <w:sz w:val="24"/>
          <w:szCs w:val="24"/>
        </w:rPr>
        <w:t>he ceases to be a Trustee;</w:t>
      </w:r>
    </w:p>
    <w:p>
      <w:pPr>
        <w:pStyle w:val="DfESOutNumbered"/>
        <w:numPr>
          <w:ilvl w:val="0"/>
          <w:numId w:val="42"/>
        </w:numPr>
        <w:spacing w:after="200" w:line="360" w:lineRule="auto"/>
        <w:ind w:hanging="720"/>
        <w:rPr>
          <w:sz w:val="24"/>
          <w:szCs w:val="24"/>
        </w:rPr>
      </w:pPr>
      <w:r>
        <w:rPr>
          <w:sz w:val="24"/>
          <w:szCs w:val="24"/>
        </w:rPr>
        <w:t>he is employed by the Academy Trust;</w:t>
      </w:r>
    </w:p>
    <w:p>
      <w:pPr>
        <w:pStyle w:val="DfESOutNumbered"/>
        <w:numPr>
          <w:ilvl w:val="0"/>
          <w:numId w:val="42"/>
        </w:numPr>
        <w:spacing w:after="200" w:line="360" w:lineRule="auto"/>
        <w:ind w:hanging="720"/>
        <w:rPr>
          <w:sz w:val="24"/>
          <w:szCs w:val="24"/>
        </w:rPr>
      </w:pPr>
      <w:r>
        <w:rPr>
          <w:sz w:val="24"/>
          <w:szCs w:val="24"/>
        </w:rPr>
        <w:t>he is removed from office in accordance with these Articles; or</w:t>
      </w:r>
    </w:p>
    <w:p>
      <w:pPr>
        <w:pStyle w:val="DfESOutNumbered"/>
        <w:numPr>
          <w:ilvl w:val="0"/>
          <w:numId w:val="42"/>
        </w:numPr>
        <w:spacing w:after="200" w:line="360" w:lineRule="auto"/>
        <w:ind w:hanging="720"/>
        <w:rPr>
          <w:sz w:val="24"/>
          <w:szCs w:val="24"/>
        </w:rPr>
      </w:pPr>
      <w:proofErr w:type="gramStart"/>
      <w:r>
        <w:rPr>
          <w:sz w:val="24"/>
          <w:szCs w:val="24"/>
        </w:rPr>
        <w:t>in</w:t>
      </w:r>
      <w:proofErr w:type="gramEnd"/>
      <w:r>
        <w:rPr>
          <w:sz w:val="24"/>
          <w:szCs w:val="24"/>
        </w:rPr>
        <w:t xml:space="preserve"> the case of the vice-chairman, he is elected in accordance with these Articles to fill a vacancy in the office of chairman.</w:t>
      </w:r>
    </w:p>
    <w:p>
      <w:pPr>
        <w:pStyle w:val="DfESOutNumbered"/>
        <w:keepNext/>
        <w:keepLines/>
        <w:widowControl/>
        <w:numPr>
          <w:ilvl w:val="0"/>
          <w:numId w:val="0"/>
        </w:numPr>
        <w:spacing w:after="200" w:line="360" w:lineRule="auto"/>
        <w:ind w:left="709" w:hanging="709"/>
        <w:rPr>
          <w:sz w:val="24"/>
          <w:szCs w:val="24"/>
        </w:rPr>
      </w:pPr>
      <w:r>
        <w:rPr>
          <w:sz w:val="24"/>
          <w:szCs w:val="24"/>
        </w:rPr>
        <w:t>85.</w:t>
      </w:r>
      <w:r>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pPr>
        <w:pStyle w:val="DfESOutNumbered"/>
        <w:numPr>
          <w:ilvl w:val="0"/>
          <w:numId w:val="0"/>
        </w:numPr>
        <w:spacing w:after="200" w:line="360" w:lineRule="auto"/>
        <w:ind w:left="709" w:hanging="709"/>
        <w:rPr>
          <w:sz w:val="24"/>
          <w:szCs w:val="24"/>
        </w:rPr>
      </w:pPr>
      <w:r>
        <w:rPr>
          <w:sz w:val="24"/>
          <w:szCs w:val="24"/>
        </w:rPr>
        <w:t>86.</w:t>
      </w:r>
      <w:r>
        <w:rPr>
          <w:sz w:val="24"/>
          <w:szCs w:val="24"/>
        </w:rPr>
        <w:tab/>
        <w:t>Where the chairman is absent from any meeting or there is at the time a vacancy in the office of the chairman, the vice-chairman shall act as the chair for the purposes of the meeting.</w:t>
      </w:r>
    </w:p>
    <w:p>
      <w:pPr>
        <w:pStyle w:val="DfESOutNumbered"/>
        <w:numPr>
          <w:ilvl w:val="0"/>
          <w:numId w:val="0"/>
        </w:numPr>
        <w:spacing w:after="200" w:line="360" w:lineRule="auto"/>
        <w:rPr>
          <w:sz w:val="24"/>
          <w:szCs w:val="24"/>
        </w:rPr>
      </w:pPr>
      <w:r>
        <w:rPr>
          <w:sz w:val="24"/>
          <w:szCs w:val="24"/>
        </w:rPr>
        <w:t>87-89.</w:t>
      </w:r>
      <w:r>
        <w:rPr>
          <w:sz w:val="24"/>
          <w:szCs w:val="24"/>
        </w:rPr>
        <w:tab/>
        <w:t>Not used.</w:t>
      </w:r>
    </w:p>
    <w:p>
      <w:pPr>
        <w:pStyle w:val="DfESOutNumbered"/>
        <w:numPr>
          <w:ilvl w:val="0"/>
          <w:numId w:val="0"/>
        </w:numPr>
        <w:spacing w:after="200" w:line="360" w:lineRule="auto"/>
        <w:ind w:left="709" w:hanging="709"/>
        <w:rPr>
          <w:sz w:val="24"/>
          <w:szCs w:val="24"/>
        </w:rPr>
      </w:pPr>
      <w:r>
        <w:rPr>
          <w:sz w:val="24"/>
          <w:szCs w:val="24"/>
        </w:rPr>
        <w:t>90.</w:t>
      </w:r>
      <w:r>
        <w:rPr>
          <w:sz w:val="24"/>
          <w:szCs w:val="24"/>
        </w:rPr>
        <w:tab/>
        <w:t>The Trustees may remove the chairman or vice-chairman from office in accordance with these Articles.</w:t>
      </w:r>
    </w:p>
    <w:p>
      <w:pPr>
        <w:pStyle w:val="DfESOutNumbered"/>
        <w:numPr>
          <w:ilvl w:val="0"/>
          <w:numId w:val="0"/>
        </w:numPr>
        <w:spacing w:after="200" w:line="360" w:lineRule="auto"/>
        <w:ind w:left="709" w:hanging="709"/>
        <w:rPr>
          <w:sz w:val="24"/>
          <w:szCs w:val="24"/>
        </w:rPr>
      </w:pPr>
      <w:r>
        <w:rPr>
          <w:sz w:val="24"/>
          <w:szCs w:val="24"/>
        </w:rPr>
        <w:t>91.</w:t>
      </w:r>
      <w:r>
        <w:rPr>
          <w:sz w:val="24"/>
          <w:szCs w:val="24"/>
        </w:rPr>
        <w:tab/>
        <w:t>A resolution to remove the chairman or vice-chairman from office which is passed at a meeting of the Trustees shall not have effect unless:</w:t>
      </w:r>
    </w:p>
    <w:p>
      <w:pPr>
        <w:pStyle w:val="DfESOutNumbered"/>
        <w:numPr>
          <w:ilvl w:val="0"/>
          <w:numId w:val="0"/>
        </w:numPr>
        <w:spacing w:after="200" w:line="360" w:lineRule="auto"/>
        <w:ind w:left="1418" w:hanging="709"/>
        <w:rPr>
          <w:sz w:val="24"/>
          <w:szCs w:val="24"/>
        </w:rPr>
      </w:pPr>
      <w:r>
        <w:rPr>
          <w:sz w:val="24"/>
          <w:szCs w:val="24"/>
        </w:rPr>
        <w:t>a.</w:t>
      </w:r>
      <w:r>
        <w:rPr>
          <w:sz w:val="24"/>
          <w:szCs w:val="24"/>
        </w:rPr>
        <w:tab/>
        <w:t>it is confirmed by a resolution passed at a second meeting of the Trustees held not less than fourteen days after the first meeting; and</w:t>
      </w:r>
    </w:p>
    <w:p>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matter of the chairman’s or vice-chairman’s removal from office is specified as an item of business on the agenda for each of those meetings.</w:t>
      </w:r>
    </w:p>
    <w:p>
      <w:pPr>
        <w:pStyle w:val="DfESOutNumbered"/>
        <w:numPr>
          <w:ilvl w:val="0"/>
          <w:numId w:val="0"/>
        </w:numPr>
        <w:spacing w:after="200" w:line="360" w:lineRule="auto"/>
        <w:ind w:left="709" w:hanging="709"/>
        <w:rPr>
          <w:sz w:val="24"/>
          <w:szCs w:val="24"/>
        </w:rPr>
      </w:pPr>
      <w:r>
        <w:rPr>
          <w:sz w:val="24"/>
          <w:szCs w:val="24"/>
        </w:rPr>
        <w:t>92.</w:t>
      </w:r>
      <w:r>
        <w:rPr>
          <w:sz w:val="24"/>
          <w:szCs w:val="24"/>
        </w:rPr>
        <w:tab/>
        <w:t>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w:t>
      </w:r>
    </w:p>
    <w:p>
      <w:pPr>
        <w:pStyle w:val="Heading1"/>
        <w:pageBreakBefore w:val="0"/>
        <w:widowControl w:val="0"/>
        <w:rPr>
          <w:color w:val="auto"/>
          <w:sz w:val="24"/>
        </w:rPr>
      </w:pPr>
      <w:bookmarkStart w:id="16" w:name="_Toc442359848"/>
      <w:r>
        <w:rPr>
          <w:color w:val="auto"/>
          <w:sz w:val="24"/>
        </w:rPr>
        <w:t>POWERS OF TRUSTEES</w:t>
      </w:r>
      <w:bookmarkEnd w:id="16"/>
    </w:p>
    <w:p>
      <w:pPr>
        <w:pStyle w:val="DfESOutNumbered"/>
        <w:numPr>
          <w:ilvl w:val="0"/>
          <w:numId w:val="0"/>
        </w:numPr>
        <w:spacing w:after="200" w:line="360" w:lineRule="auto"/>
        <w:ind w:left="709" w:hanging="709"/>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pPr>
        <w:pStyle w:val="DfESOutNumbered"/>
        <w:numPr>
          <w:ilvl w:val="0"/>
          <w:numId w:val="0"/>
        </w:numPr>
        <w:spacing w:after="200" w:line="360" w:lineRule="auto"/>
        <w:ind w:left="709" w:hanging="709"/>
        <w:rPr>
          <w:sz w:val="24"/>
          <w:szCs w:val="24"/>
        </w:rPr>
      </w:pPr>
      <w:r>
        <w:rPr>
          <w:sz w:val="24"/>
          <w:szCs w:val="24"/>
        </w:rPr>
        <w:t>94.</w:t>
      </w:r>
      <w:r>
        <w:rPr>
          <w:sz w:val="24"/>
          <w:szCs w:val="24"/>
        </w:rPr>
        <w:tab/>
        <w:t xml:space="preserve">In addition to all powers hereby expressly conferred upon them and without detracting from the generality of their powers under the Articles the Trustees shall have the following powers, </w:t>
      </w:r>
      <w:proofErr w:type="gramStart"/>
      <w:r>
        <w:rPr>
          <w:sz w:val="24"/>
          <w:szCs w:val="24"/>
        </w:rPr>
        <w:t>namely:</w:t>
      </w:r>
      <w:proofErr w:type="gramEnd"/>
    </w:p>
    <w:p>
      <w:pPr>
        <w:pStyle w:val="DfESOutNumbered"/>
        <w:numPr>
          <w:ilvl w:val="0"/>
          <w:numId w:val="43"/>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pPr>
        <w:pStyle w:val="DfESOutNumbered"/>
        <w:numPr>
          <w:ilvl w:val="0"/>
          <w:numId w:val="43"/>
        </w:numPr>
        <w:spacing w:after="200" w:line="360" w:lineRule="auto"/>
        <w:ind w:left="1418" w:hanging="709"/>
        <w:rPr>
          <w:sz w:val="24"/>
          <w:szCs w:val="24"/>
        </w:rPr>
      </w:pPr>
      <w:proofErr w:type="gramStart"/>
      <w:r>
        <w:rPr>
          <w:sz w:val="24"/>
          <w:szCs w:val="24"/>
        </w:rPr>
        <w:t>to</w:t>
      </w:r>
      <w:proofErr w:type="gramEnd"/>
      <w:r>
        <w:rPr>
          <w:sz w:val="24"/>
          <w:szCs w:val="24"/>
        </w:rPr>
        <w:t xml:space="preserve"> enter into contracts on behalf of the Academy Trust.</w:t>
      </w:r>
    </w:p>
    <w:p>
      <w:pPr>
        <w:pStyle w:val="DfESOutNumbered"/>
        <w:numPr>
          <w:ilvl w:val="0"/>
          <w:numId w:val="0"/>
        </w:numPr>
        <w:spacing w:after="200" w:line="360" w:lineRule="auto"/>
        <w:ind w:left="709" w:hanging="709"/>
      </w:pPr>
      <w:r>
        <w:rPr>
          <w:sz w:val="24"/>
          <w:szCs w:val="24"/>
        </w:rPr>
        <w:t>95.</w:t>
      </w:r>
      <w:r>
        <w:rPr>
          <w:sz w:val="24"/>
          <w:szCs w:val="24"/>
        </w:rPr>
        <w:tab/>
        <w:t>In the exercise of their powers and functions, the Trustees may consider any advice given by the Chief Executive Officer to the extent he or she is not a Trustee and any other executive officer.</w:t>
      </w:r>
    </w:p>
    <w:p>
      <w:pPr>
        <w:pStyle w:val="DfESOutNumbered"/>
        <w:numPr>
          <w:ilvl w:val="0"/>
          <w:numId w:val="0"/>
        </w:numPr>
        <w:spacing w:after="200" w:line="360" w:lineRule="auto"/>
        <w:ind w:left="709" w:hanging="709"/>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pPr>
        <w:pStyle w:val="Heading1"/>
        <w:pageBreakBefore w:val="0"/>
        <w:widowControl w:val="0"/>
        <w:rPr>
          <w:color w:val="auto"/>
          <w:sz w:val="24"/>
        </w:rPr>
      </w:pPr>
      <w:bookmarkStart w:id="17" w:name="_Toc442359849"/>
      <w:r>
        <w:rPr>
          <w:color w:val="auto"/>
          <w:sz w:val="24"/>
        </w:rPr>
        <w:t>CONFLICTS OF INTEREST</w:t>
      </w:r>
      <w:bookmarkEnd w:id="17"/>
    </w:p>
    <w:p>
      <w:pPr>
        <w:pStyle w:val="DfESOutNumbered"/>
        <w:numPr>
          <w:ilvl w:val="0"/>
          <w:numId w:val="0"/>
        </w:numPr>
        <w:spacing w:after="200" w:line="360" w:lineRule="auto"/>
        <w:ind w:left="709" w:hanging="709"/>
        <w:rPr>
          <w:sz w:val="24"/>
          <w:szCs w:val="24"/>
        </w:rPr>
      </w:pPr>
      <w:r>
        <w:rPr>
          <w:sz w:val="24"/>
          <w:szCs w:val="24"/>
        </w:rPr>
        <w:t>97.</w:t>
      </w:r>
      <w:r>
        <w:rPr>
          <w:sz w:val="24"/>
          <w:szCs w:val="24"/>
        </w:rPr>
        <w:tab/>
        <w:t>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w:t>
      </w:r>
    </w:p>
    <w:p>
      <w:pPr>
        <w:pStyle w:val="DfESOutNumbered"/>
        <w:numPr>
          <w:ilvl w:val="0"/>
          <w:numId w:val="0"/>
        </w:numPr>
        <w:spacing w:after="200" w:line="360" w:lineRule="auto"/>
        <w:ind w:left="709" w:hanging="709"/>
      </w:pPr>
      <w:r>
        <w:rPr>
          <w:sz w:val="24"/>
          <w:szCs w:val="24"/>
        </w:rPr>
        <w:t>98.</w:t>
      </w:r>
      <w:r>
        <w:rPr>
          <w:sz w:val="24"/>
          <w:szCs w:val="24"/>
        </w:rPr>
        <w:tab/>
        <w:t>For the purpose of Article 97, a Trustee has a Personal Financial Interest in the employment or remuneration of, or the provision of any other benefit to, that Trustee as permitted by and as defined by Articles 6.5-6.8A.</w:t>
      </w:r>
    </w:p>
    <w:p>
      <w:pPr>
        <w:pStyle w:val="Heading1"/>
        <w:pageBreakBefore w:val="0"/>
        <w:rPr>
          <w:b w:val="0"/>
          <w:color w:val="auto"/>
          <w:sz w:val="24"/>
        </w:rPr>
      </w:pPr>
      <w:bookmarkStart w:id="18" w:name="_Toc442359850"/>
      <w:r>
        <w:rPr>
          <w:color w:val="auto"/>
          <w:sz w:val="24"/>
        </w:rPr>
        <w:t>THE MINUTES</w:t>
      </w:r>
      <w:bookmarkEnd w:id="18"/>
    </w:p>
    <w:p>
      <w:pPr>
        <w:pStyle w:val="DfESOutNumbered"/>
        <w:numPr>
          <w:ilvl w:val="0"/>
          <w:numId w:val="0"/>
        </w:numPr>
        <w:spacing w:after="200" w:line="360" w:lineRule="auto"/>
        <w:ind w:left="709" w:hanging="709"/>
        <w:rPr>
          <w:sz w:val="24"/>
          <w:szCs w:val="24"/>
        </w:rPr>
      </w:pPr>
      <w:r>
        <w:rPr>
          <w:sz w:val="24"/>
          <w:szCs w:val="24"/>
        </w:rPr>
        <w:t>99.</w:t>
      </w:r>
      <w:r>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meeting by the person acting as chairman thereof.</w:t>
      </w:r>
    </w:p>
    <w:p>
      <w:pPr>
        <w:pStyle w:val="Heading1"/>
        <w:pageBreakBefore w:val="0"/>
        <w:widowControl w:val="0"/>
        <w:rPr>
          <w:color w:val="auto"/>
          <w:sz w:val="24"/>
        </w:rPr>
      </w:pPr>
      <w:bookmarkStart w:id="19" w:name="_Toc442359851"/>
      <w:r>
        <w:rPr>
          <w:color w:val="auto"/>
          <w:sz w:val="24"/>
        </w:rPr>
        <w:t>COMMITTEES</w:t>
      </w:r>
      <w:bookmarkEnd w:id="19"/>
    </w:p>
    <w:p>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pPr>
        <w:pStyle w:val="DfESOutNumbered"/>
        <w:numPr>
          <w:ilvl w:val="3"/>
          <w:numId w:val="98"/>
        </w:numPr>
        <w:spacing w:after="200" w:line="360" w:lineRule="auto"/>
        <w:ind w:left="1418" w:hanging="709"/>
      </w:pPr>
      <w:r>
        <w:rPr>
          <w:sz w:val="24"/>
          <w:szCs w:val="24"/>
        </w:rPr>
        <w:t>may appoint committees to be known as Local Governing Bodies for each Academy (and the same Local Governing Body may be appointed for more than one Academy); and</w:t>
      </w:r>
    </w:p>
    <w:p>
      <w:pPr>
        <w:pStyle w:val="DfESOutNumbered"/>
        <w:numPr>
          <w:ilvl w:val="3"/>
          <w:numId w:val="98"/>
        </w:numPr>
        <w:spacing w:after="200" w:line="360" w:lineRule="auto"/>
        <w:ind w:left="1418" w:hanging="709"/>
      </w:pPr>
      <w:proofErr w:type="gramStart"/>
      <w:r>
        <w:rPr>
          <w:sz w:val="24"/>
          <w:szCs w:val="24"/>
        </w:rPr>
        <w:t>may</w:t>
      </w:r>
      <w:proofErr w:type="gramEnd"/>
      <w:r>
        <w:rPr>
          <w:sz w:val="24"/>
          <w:szCs w:val="24"/>
        </w:rPr>
        <w:t xml:space="preserve"> establish any other committee. </w:t>
      </w:r>
    </w:p>
    <w:p>
      <w:pPr>
        <w:pStyle w:val="DfESOutNumbered"/>
        <w:numPr>
          <w:ilvl w:val="0"/>
          <w:numId w:val="0"/>
        </w:numPr>
        <w:spacing w:after="200" w:line="360" w:lineRule="auto"/>
        <w:ind w:left="709" w:hanging="709"/>
      </w:pPr>
      <w:r>
        <w:rPr>
          <w:sz w:val="24"/>
          <w:szCs w:val="24"/>
        </w:rPr>
        <w:t>101.</w:t>
      </w:r>
      <w:r>
        <w:rPr>
          <w:sz w:val="24"/>
          <w:szCs w:val="24"/>
        </w:rPr>
        <w:tab/>
        <w:t>Subject to these Articles, the constitution, membership and proceedings of any committee shall be determined by the Trustees. The establishment, terms of reference, constitution and membership of any committee of the Trustees shall be reviewed at least once in every twelve months. The membership of any committee of the Trustees may include persons who are not Trustees, provided that (with the exception of the Local Governing Bodies) a majority of members of any such committee shall be Trustees. Except in the case of a Local Governing Body, no vote on any matter shall be taken at a meeting of a committee of the Trustees unless the majority of members of the committee present are Trustees.</w:t>
      </w:r>
    </w:p>
    <w:p>
      <w:pPr>
        <w:pStyle w:val="DfESOutNumbered"/>
        <w:numPr>
          <w:ilvl w:val="0"/>
          <w:numId w:val="0"/>
        </w:numPr>
        <w:spacing w:after="200" w:line="360" w:lineRule="auto"/>
        <w:ind w:left="709" w:hanging="709"/>
      </w:pPr>
      <w:r>
        <w:rPr>
          <w:sz w:val="24"/>
          <w:szCs w:val="24"/>
        </w:rPr>
        <w:t>101A.</w:t>
      </w:r>
      <w:r>
        <w:rPr>
          <w:sz w:val="24"/>
          <w:szCs w:val="24"/>
        </w:rPr>
        <w:tab/>
        <w:t xml:space="preserve">The Trustees shall ensure that any Local Governing Body shall include at least 2 Parent Local Governors. </w:t>
      </w:r>
    </w:p>
    <w:p>
      <w:pPr>
        <w:pStyle w:val="DfESOutNumbered"/>
        <w:numPr>
          <w:ilvl w:val="0"/>
          <w:numId w:val="0"/>
        </w:numPr>
        <w:spacing w:after="200" w:line="360" w:lineRule="auto"/>
        <w:rPr>
          <w:sz w:val="24"/>
          <w:szCs w:val="24"/>
        </w:rPr>
      </w:pPr>
      <w:r>
        <w:rPr>
          <w:sz w:val="24"/>
          <w:szCs w:val="24"/>
        </w:rPr>
        <w:t>102.</w:t>
      </w:r>
      <w:r>
        <w:rPr>
          <w:sz w:val="24"/>
          <w:szCs w:val="24"/>
        </w:rPr>
        <w:tab/>
        <w:t>Not used.</w:t>
      </w:r>
    </w:p>
    <w:p>
      <w:pPr>
        <w:pStyle w:val="DfESOutNumbered"/>
        <w:numPr>
          <w:ilvl w:val="0"/>
          <w:numId w:val="0"/>
        </w:numPr>
        <w:spacing w:after="200" w:line="360" w:lineRule="auto"/>
        <w:rPr>
          <w:sz w:val="24"/>
          <w:szCs w:val="24"/>
        </w:rPr>
      </w:pPr>
      <w:r>
        <w:rPr>
          <w:sz w:val="24"/>
          <w:szCs w:val="24"/>
        </w:rPr>
        <w:t>103.</w:t>
      </w:r>
      <w:r>
        <w:rPr>
          <w:sz w:val="24"/>
          <w:szCs w:val="24"/>
        </w:rPr>
        <w:tab/>
        <w:t>Not used.</w:t>
      </w:r>
    </w:p>
    <w:p>
      <w:pPr>
        <w:pStyle w:val="DfESOutNumbered"/>
        <w:numPr>
          <w:ilvl w:val="0"/>
          <w:numId w:val="0"/>
        </w:numPr>
        <w:spacing w:after="200" w:line="360" w:lineRule="auto"/>
        <w:ind w:left="709" w:hanging="709"/>
      </w:pPr>
      <w:r>
        <w:rPr>
          <w:sz w:val="24"/>
          <w:szCs w:val="24"/>
        </w:rPr>
        <w:t>104.</w:t>
      </w:r>
      <w:r>
        <w:rPr>
          <w:sz w:val="24"/>
          <w:szCs w:val="24"/>
        </w:rPr>
        <w:tab/>
        <w:t>The functions, duties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p>
    <w:p>
      <w:pPr>
        <w:pStyle w:val="Heading1"/>
        <w:pageBreakBefore w:val="0"/>
        <w:widowControl w:val="0"/>
        <w:rPr>
          <w:color w:val="auto"/>
          <w:sz w:val="24"/>
        </w:rPr>
      </w:pPr>
      <w:bookmarkStart w:id="20" w:name="_Toc442359852"/>
      <w:r>
        <w:rPr>
          <w:color w:val="auto"/>
          <w:sz w:val="24"/>
        </w:rPr>
        <w:t>DELEGATION</w:t>
      </w:r>
      <w:bookmarkEnd w:id="20"/>
    </w:p>
    <w:p>
      <w:pPr>
        <w:pStyle w:val="DfESOutNumbered"/>
        <w:numPr>
          <w:ilvl w:val="0"/>
          <w:numId w:val="0"/>
        </w:numPr>
        <w:spacing w:after="200" w:line="360" w:lineRule="auto"/>
        <w:ind w:left="709" w:hanging="709"/>
      </w:pPr>
      <w:r>
        <w:rPr>
          <w:sz w:val="24"/>
          <w:szCs w:val="24"/>
        </w:rPr>
        <w:t>105.</w:t>
      </w:r>
      <w:r>
        <w:rPr>
          <w:sz w:val="24"/>
          <w:szCs w:val="24"/>
        </w:rPr>
        <w:tab/>
        <w:t>The Trustees may delegate any of their powers or functions (including the power to sub-delegate) to any Trustee, committee (including any Local Governing Body), the Chief Executive Officer or any other holder of an executive office. Any such delegation shall be made in writing and subject to any conditions the Trustees may impose, and may be revoked or altered.</w:t>
      </w:r>
    </w:p>
    <w:p>
      <w:pPr>
        <w:pStyle w:val="DfESOutNumbered"/>
        <w:numPr>
          <w:ilvl w:val="0"/>
          <w:numId w:val="0"/>
        </w:numPr>
        <w:spacing w:after="200" w:line="360" w:lineRule="auto"/>
        <w:ind w:left="709" w:hanging="709"/>
        <w:rPr>
          <w:sz w:val="24"/>
          <w:szCs w:val="24"/>
        </w:rPr>
      </w:pPr>
      <w:r>
        <w:rPr>
          <w:sz w:val="24"/>
          <w:szCs w:val="24"/>
        </w:rPr>
        <w:t>105A.</w:t>
      </w:r>
      <w:r>
        <w:rPr>
          <w:sz w:val="24"/>
          <w:szCs w:val="24"/>
        </w:rPr>
        <w:tab/>
        <w:t>A Trustee, committee (including any Local Governing Body), the Chief Executive Officer or any other holder of an executive office to whom a power or function of the Trustees is delegated under Article 105 may 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 by the Trustees.</w:t>
      </w:r>
    </w:p>
    <w:p>
      <w:pPr>
        <w:pStyle w:val="DfESOutNumbered"/>
        <w:numPr>
          <w:ilvl w:val="0"/>
          <w:numId w:val="0"/>
        </w:numPr>
        <w:spacing w:after="200" w:line="360" w:lineRule="auto"/>
        <w:ind w:left="709" w:hanging="709"/>
      </w:pPr>
      <w:r>
        <w:rPr>
          <w:sz w:val="24"/>
          <w:szCs w:val="24"/>
        </w:rPr>
        <w:t>106.</w:t>
      </w:r>
      <w:r>
        <w:rPr>
          <w:sz w:val="24"/>
          <w:szCs w:val="24"/>
        </w:rPr>
        <w:tab/>
        <w:t>Where any power or function of the Trustees has been exercised by any committee (including any Local Governing Body) any Trustee, the Chief Executive Officer, 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pPr>
        <w:pStyle w:val="Heading1"/>
        <w:pageBreakBefore w:val="0"/>
        <w:widowControl w:val="0"/>
        <w:rPr>
          <w:color w:val="auto"/>
          <w:sz w:val="24"/>
        </w:rPr>
      </w:pPr>
      <w:bookmarkStart w:id="21" w:name="_Toc442359853"/>
      <w:r>
        <w:rPr>
          <w:color w:val="auto"/>
          <w:sz w:val="24"/>
        </w:rPr>
        <w:t>CHIEF EXECUTIVE OFFICER AND PRINCIPALS</w:t>
      </w:r>
      <w:bookmarkEnd w:id="21"/>
    </w:p>
    <w:p>
      <w:pPr>
        <w:pStyle w:val="DfESOutNumbered"/>
        <w:numPr>
          <w:ilvl w:val="0"/>
          <w:numId w:val="0"/>
        </w:numPr>
        <w:spacing w:after="200" w:line="360" w:lineRule="auto"/>
        <w:ind w:left="709" w:hanging="709"/>
      </w:pPr>
      <w:r>
        <w:rPr>
          <w:sz w:val="24"/>
          <w:szCs w:val="24"/>
        </w:rPr>
        <w:t>107.</w:t>
      </w:r>
      <w:r>
        <w:rPr>
          <w:sz w:val="24"/>
          <w:szCs w:val="24"/>
        </w:rPr>
        <w:tab/>
        <w:t>The Trustees shall appoint the Chief Executive Officer and the Principals of the Academies. The Trustees may delegate such powers and functions as they consider are required by the Chief Executive Officer and the Principals for the internal organisation, management and control of the Academies (including the implementation of all policies approved by the Trustees and for the direction of the teaching and curriculum at the Academies).</w:t>
      </w:r>
    </w:p>
    <w:p>
      <w:pPr>
        <w:pStyle w:val="Heading1"/>
        <w:pageBreakBefore w:val="0"/>
        <w:widowControl w:val="0"/>
        <w:rPr>
          <w:color w:val="auto"/>
          <w:sz w:val="24"/>
        </w:rPr>
      </w:pPr>
      <w:bookmarkStart w:id="22" w:name="_Toc442359854"/>
      <w:r>
        <w:rPr>
          <w:color w:val="auto"/>
          <w:sz w:val="24"/>
        </w:rPr>
        <w:t>MEETINGS OF THE TRUSTEES</w:t>
      </w:r>
      <w:bookmarkEnd w:id="22"/>
    </w:p>
    <w:p>
      <w:pPr>
        <w:pStyle w:val="DfESOutNumbered"/>
        <w:numPr>
          <w:ilvl w:val="0"/>
          <w:numId w:val="0"/>
        </w:numPr>
        <w:spacing w:after="200" w:line="360" w:lineRule="auto"/>
        <w:ind w:left="709" w:hanging="709"/>
        <w:rPr>
          <w:sz w:val="24"/>
          <w:szCs w:val="24"/>
        </w:rPr>
      </w:pPr>
      <w:r>
        <w:rPr>
          <w:sz w:val="24"/>
          <w:szCs w:val="24"/>
        </w:rPr>
        <w:t>108.</w:t>
      </w:r>
      <w:r>
        <w:rPr>
          <w:sz w:val="24"/>
          <w:szCs w:val="24"/>
        </w:rPr>
        <w:tab/>
        <w:t>Subject to these Articles, the Trustees may regulate their proceedings as they think fit.</w:t>
      </w:r>
    </w:p>
    <w:p>
      <w:pPr>
        <w:pStyle w:val="DfESOutNumbered"/>
        <w:numPr>
          <w:ilvl w:val="0"/>
          <w:numId w:val="0"/>
        </w:numPr>
        <w:spacing w:after="200" w:line="360" w:lineRule="auto"/>
        <w:ind w:left="709" w:hanging="709"/>
        <w:rPr>
          <w:sz w:val="24"/>
          <w:szCs w:val="24"/>
        </w:rPr>
      </w:pPr>
      <w:r>
        <w:rPr>
          <w:sz w:val="24"/>
          <w:szCs w:val="24"/>
        </w:rPr>
        <w:t>109.</w:t>
      </w:r>
      <w:r>
        <w:rPr>
          <w:sz w:val="24"/>
          <w:szCs w:val="24"/>
        </w:rPr>
        <w:tab/>
        <w:t>The Trustees shall hold at least three meetings in every school year. Meetings of the Trustees shall be convened by the Clerk. In exercising his functions under this Article the Clerk shall comply with any direction:</w:t>
      </w:r>
    </w:p>
    <w:p>
      <w:pPr>
        <w:pStyle w:val="DfESOutNumbered"/>
        <w:numPr>
          <w:ilvl w:val="1"/>
          <w:numId w:val="45"/>
        </w:numPr>
        <w:spacing w:after="200" w:line="360" w:lineRule="auto"/>
        <w:ind w:left="1418" w:hanging="709"/>
        <w:rPr>
          <w:sz w:val="24"/>
          <w:szCs w:val="24"/>
        </w:rPr>
      </w:pPr>
      <w:r>
        <w:rPr>
          <w:sz w:val="24"/>
          <w:szCs w:val="24"/>
        </w:rPr>
        <w:t>given by the Trustees; or</w:t>
      </w:r>
    </w:p>
    <w:p>
      <w:pPr>
        <w:pStyle w:val="DfESOutNumbered"/>
        <w:numPr>
          <w:ilvl w:val="1"/>
          <w:numId w:val="45"/>
        </w:numPr>
        <w:spacing w:after="200" w:line="360" w:lineRule="auto"/>
        <w:ind w:left="1418" w:hanging="709"/>
        <w:rPr>
          <w:sz w:val="24"/>
          <w:szCs w:val="24"/>
        </w:rPr>
      </w:pPr>
      <w:r>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pPr>
        <w:pStyle w:val="DfESOutNumbered"/>
        <w:numPr>
          <w:ilvl w:val="0"/>
          <w:numId w:val="0"/>
        </w:numPr>
        <w:spacing w:after="200" w:line="360" w:lineRule="auto"/>
        <w:ind w:left="709" w:hanging="709"/>
        <w:rPr>
          <w:sz w:val="24"/>
          <w:szCs w:val="24"/>
        </w:rPr>
      </w:pPr>
      <w:r>
        <w:rPr>
          <w:sz w:val="24"/>
          <w:szCs w:val="24"/>
        </w:rPr>
        <w:t>110.</w:t>
      </w:r>
      <w:r>
        <w:rPr>
          <w:sz w:val="24"/>
          <w:szCs w:val="24"/>
        </w:rPr>
        <w:tab/>
        <w:t>Any three Trustees may, by notice in writing given to the Clerk, requisition a meeting of the Trustees; and it shall be the duty of the Clerk to convene such a meeting as soon as is reasonably practicable.</w:t>
      </w:r>
    </w:p>
    <w:p>
      <w:pPr>
        <w:pStyle w:val="DfESOutNumbered"/>
        <w:numPr>
          <w:ilvl w:val="0"/>
          <w:numId w:val="0"/>
        </w:numPr>
        <w:spacing w:after="200" w:line="360" w:lineRule="auto"/>
        <w:ind w:left="709" w:hanging="709"/>
        <w:rPr>
          <w:sz w:val="24"/>
          <w:szCs w:val="24"/>
        </w:rPr>
      </w:pPr>
      <w:r>
        <w:rPr>
          <w:sz w:val="24"/>
          <w:szCs w:val="24"/>
        </w:rPr>
        <w:t>111.</w:t>
      </w:r>
      <w:r>
        <w:rPr>
          <w:sz w:val="24"/>
          <w:szCs w:val="24"/>
        </w:rPr>
        <w:tab/>
        <w:t>Each Trustee shall be given at least seven clear days before the date of a meeting:</w:t>
      </w:r>
    </w:p>
    <w:p>
      <w:pPr>
        <w:pStyle w:val="DfESOutNumbered"/>
        <w:numPr>
          <w:ilvl w:val="0"/>
          <w:numId w:val="0"/>
        </w:numPr>
        <w:spacing w:after="200" w:line="360" w:lineRule="auto"/>
        <w:ind w:left="1418" w:hanging="709"/>
        <w:rPr>
          <w:sz w:val="24"/>
          <w:szCs w:val="24"/>
        </w:rPr>
      </w:pPr>
      <w:r>
        <w:rPr>
          <w:sz w:val="24"/>
          <w:szCs w:val="24"/>
        </w:rPr>
        <w:t>a.</w:t>
      </w:r>
      <w:r>
        <w:rPr>
          <w:sz w:val="24"/>
          <w:szCs w:val="24"/>
        </w:rPr>
        <w:tab/>
        <w:t>notice in writing thereof, signed by the Clerk, and sent to each Trustee at the address provided by each Trustee from time to time; and</w:t>
      </w:r>
    </w:p>
    <w:p>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copy of the agenda for the meeting;</w:t>
      </w:r>
    </w:p>
    <w:p>
      <w:pPr>
        <w:pStyle w:val="DfESOutNumbered"/>
        <w:numPr>
          <w:ilvl w:val="0"/>
          <w:numId w:val="0"/>
        </w:numPr>
        <w:spacing w:after="200" w:line="360" w:lineRule="auto"/>
        <w:ind w:left="709"/>
        <w:rPr>
          <w:sz w:val="24"/>
          <w:szCs w:val="24"/>
        </w:rPr>
      </w:pPr>
      <w:r>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pPr>
        <w:pStyle w:val="DfESOutNumbered"/>
        <w:numPr>
          <w:ilvl w:val="0"/>
          <w:numId w:val="0"/>
        </w:numPr>
        <w:spacing w:after="200" w:line="360" w:lineRule="auto"/>
        <w:ind w:left="709" w:hanging="709"/>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pPr>
        <w:pStyle w:val="DfESOutNumbered"/>
        <w:numPr>
          <w:ilvl w:val="0"/>
          <w:numId w:val="0"/>
        </w:numPr>
        <w:spacing w:after="200" w:line="360" w:lineRule="auto"/>
        <w:ind w:left="709" w:hanging="709"/>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pPr>
        <w:pStyle w:val="DfESOutNumbered"/>
        <w:numPr>
          <w:ilvl w:val="0"/>
          <w:numId w:val="0"/>
        </w:numPr>
        <w:spacing w:after="200" w:line="360" w:lineRule="auto"/>
        <w:rPr>
          <w:sz w:val="24"/>
          <w:szCs w:val="24"/>
        </w:rPr>
      </w:pPr>
      <w:r>
        <w:rPr>
          <w:sz w:val="24"/>
          <w:szCs w:val="24"/>
        </w:rPr>
        <w:t>114.</w:t>
      </w:r>
      <w:r>
        <w:rPr>
          <w:sz w:val="24"/>
          <w:szCs w:val="24"/>
        </w:rPr>
        <w:tab/>
        <w:t>A meeting of the Trustees shall be terminated forthwith if:</w:t>
      </w:r>
    </w:p>
    <w:p>
      <w:pPr>
        <w:pStyle w:val="DfESOutNumbered"/>
        <w:numPr>
          <w:ilvl w:val="2"/>
          <w:numId w:val="46"/>
        </w:numPr>
        <w:spacing w:after="200" w:line="360" w:lineRule="auto"/>
        <w:ind w:left="1418" w:hanging="709"/>
        <w:rPr>
          <w:sz w:val="24"/>
          <w:szCs w:val="24"/>
        </w:rPr>
      </w:pPr>
      <w:r>
        <w:rPr>
          <w:sz w:val="24"/>
          <w:szCs w:val="24"/>
        </w:rPr>
        <w:t>the Trustees so resolve; or</w:t>
      </w:r>
    </w:p>
    <w:p>
      <w:pPr>
        <w:pStyle w:val="DfESOutNumbered"/>
        <w:numPr>
          <w:ilvl w:val="2"/>
          <w:numId w:val="46"/>
        </w:numPr>
        <w:spacing w:after="200" w:line="360" w:lineRule="auto"/>
        <w:ind w:left="1418" w:hanging="709"/>
        <w:rPr>
          <w:sz w:val="24"/>
          <w:szCs w:val="24"/>
        </w:rPr>
      </w:pPr>
      <w:proofErr w:type="gramStart"/>
      <w:r>
        <w:rPr>
          <w:sz w:val="24"/>
          <w:szCs w:val="24"/>
        </w:rPr>
        <w:t>the</w:t>
      </w:r>
      <w:proofErr w:type="gramEnd"/>
      <w:r>
        <w:rPr>
          <w:sz w:val="24"/>
          <w:szCs w:val="24"/>
        </w:rPr>
        <w:t xml:space="preserve"> number of Trustees present ceases to constitute a quorum for a meeting of the Trustees in accordance with Article 117, subject to Article 119.</w:t>
      </w:r>
    </w:p>
    <w:p>
      <w:pPr>
        <w:pStyle w:val="DfESOutNumbered"/>
        <w:keepNext/>
        <w:keepLines/>
        <w:widowControl/>
        <w:numPr>
          <w:ilvl w:val="0"/>
          <w:numId w:val="0"/>
        </w:numPr>
        <w:spacing w:after="200" w:line="360" w:lineRule="auto"/>
        <w:ind w:left="709" w:hanging="709"/>
        <w:rPr>
          <w:sz w:val="24"/>
          <w:szCs w:val="24"/>
        </w:rPr>
      </w:pPr>
      <w:r>
        <w:rPr>
          <w:sz w:val="24"/>
          <w:szCs w:val="24"/>
        </w:rPr>
        <w:t>115.</w:t>
      </w:r>
      <w:r>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pPr>
        <w:pStyle w:val="DfESOutNumbered"/>
        <w:keepNext/>
        <w:keepLines/>
        <w:widowControl/>
        <w:numPr>
          <w:ilvl w:val="0"/>
          <w:numId w:val="0"/>
        </w:numPr>
        <w:spacing w:after="200" w:line="360" w:lineRule="auto"/>
        <w:ind w:left="709" w:hanging="709"/>
        <w:rPr>
          <w:sz w:val="24"/>
          <w:szCs w:val="24"/>
        </w:rPr>
      </w:pPr>
      <w:r>
        <w:rPr>
          <w:sz w:val="24"/>
          <w:szCs w:val="24"/>
        </w:rPr>
        <w:t>116.</w:t>
      </w:r>
      <w:r>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pPr>
        <w:pStyle w:val="DfESOutNumbered"/>
        <w:numPr>
          <w:ilvl w:val="0"/>
          <w:numId w:val="0"/>
        </w:numPr>
        <w:spacing w:after="200" w:line="360" w:lineRule="auto"/>
        <w:ind w:left="709" w:hanging="709"/>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pPr>
        <w:pStyle w:val="DfESOutNumbered"/>
        <w:numPr>
          <w:ilvl w:val="0"/>
          <w:numId w:val="0"/>
        </w:numPr>
        <w:spacing w:after="200" w:line="360" w:lineRule="auto"/>
        <w:ind w:left="709" w:hanging="709"/>
        <w:rPr>
          <w:sz w:val="24"/>
          <w:szCs w:val="24"/>
        </w:rPr>
      </w:pPr>
      <w:r>
        <w:rPr>
          <w:sz w:val="24"/>
          <w:szCs w:val="24"/>
        </w:rPr>
        <w:t>118.</w:t>
      </w:r>
      <w:r>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pPr>
        <w:pStyle w:val="DfESOutNumbered"/>
        <w:numPr>
          <w:ilvl w:val="0"/>
          <w:numId w:val="0"/>
        </w:numPr>
        <w:spacing w:after="200" w:line="360" w:lineRule="auto"/>
        <w:ind w:left="709" w:hanging="709"/>
        <w:rPr>
          <w:sz w:val="24"/>
          <w:szCs w:val="24"/>
        </w:rPr>
      </w:pPr>
    </w:p>
    <w:p>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pPr>
        <w:pStyle w:val="DfESOutNumbered"/>
        <w:numPr>
          <w:ilvl w:val="2"/>
          <w:numId w:val="47"/>
        </w:numPr>
        <w:spacing w:after="200" w:line="360" w:lineRule="auto"/>
        <w:ind w:left="1418" w:hanging="709"/>
        <w:rPr>
          <w:sz w:val="24"/>
          <w:szCs w:val="24"/>
        </w:rPr>
      </w:pPr>
      <w:r>
        <w:rPr>
          <w:sz w:val="24"/>
          <w:szCs w:val="24"/>
        </w:rPr>
        <w:t>any vote on the removal of a Trustee in accordance with Article 66; and</w:t>
      </w:r>
    </w:p>
    <w:p>
      <w:pPr>
        <w:pStyle w:val="DfESOutNumbered"/>
        <w:numPr>
          <w:ilvl w:val="2"/>
          <w:numId w:val="47"/>
        </w:numPr>
        <w:spacing w:after="200" w:line="360" w:lineRule="auto"/>
        <w:ind w:left="1418" w:hanging="709"/>
        <w:rPr>
          <w:sz w:val="24"/>
          <w:szCs w:val="24"/>
        </w:rPr>
      </w:pPr>
      <w:r>
        <w:rPr>
          <w:sz w:val="24"/>
          <w:szCs w:val="24"/>
        </w:rPr>
        <w:t>any vote on the removal of the chairman of the Trustees in accordance with Article 90;</w:t>
      </w:r>
    </w:p>
    <w:p>
      <w:pPr>
        <w:pStyle w:val="DfESOutNumbered"/>
        <w:numPr>
          <w:ilvl w:val="0"/>
          <w:numId w:val="0"/>
        </w:numPr>
        <w:spacing w:after="200" w:line="360" w:lineRule="auto"/>
        <w:ind w:left="709"/>
        <w:rPr>
          <w:sz w:val="24"/>
          <w:szCs w:val="24"/>
        </w:rPr>
      </w:pPr>
      <w:proofErr w:type="gramStart"/>
      <w:r>
        <w:rPr>
          <w:sz w:val="24"/>
          <w:szCs w:val="24"/>
        </w:rPr>
        <w:t>shall</w:t>
      </w:r>
      <w:proofErr w:type="gramEnd"/>
      <w:r>
        <w:rPr>
          <w:sz w:val="24"/>
          <w:szCs w:val="24"/>
        </w:rPr>
        <w:t xml:space="preserve"> be any two-thirds (rounded up to a whole number) of the persons who are at the time Trustees present at the meeting and entitled to vote on those respective matters.</w:t>
      </w:r>
    </w:p>
    <w:p>
      <w:pPr>
        <w:pStyle w:val="DfESOutNumbered"/>
        <w:numPr>
          <w:ilvl w:val="0"/>
          <w:numId w:val="0"/>
        </w:numPr>
        <w:spacing w:after="200" w:line="360" w:lineRule="auto"/>
        <w:ind w:left="709" w:hanging="709"/>
        <w:rPr>
          <w:sz w:val="24"/>
          <w:szCs w:val="24"/>
        </w:rPr>
      </w:pPr>
      <w:r>
        <w:rPr>
          <w:sz w:val="24"/>
          <w:szCs w:val="24"/>
        </w:rPr>
        <w:t>120.</w:t>
      </w:r>
      <w:r>
        <w:rPr>
          <w:sz w:val="24"/>
          <w:szCs w:val="24"/>
        </w:rPr>
        <w:tab/>
        <w:t>Subject to these Articles, every question to be decided at a meeting of the Trustees shall be determined by a majority of the votes of the Trustees present and voting on the question. Every Trustee shall have one vote.</w:t>
      </w:r>
    </w:p>
    <w:p>
      <w:pPr>
        <w:pStyle w:val="DfESOutNumbered"/>
        <w:keepNext/>
        <w:keepLines/>
        <w:widowControl/>
        <w:numPr>
          <w:ilvl w:val="0"/>
          <w:numId w:val="0"/>
        </w:numPr>
        <w:spacing w:after="200" w:line="360" w:lineRule="auto"/>
        <w:ind w:left="709" w:hanging="709"/>
        <w:rPr>
          <w:sz w:val="24"/>
          <w:szCs w:val="24"/>
        </w:rPr>
      </w:pPr>
      <w:r>
        <w:rPr>
          <w:sz w:val="24"/>
          <w:szCs w:val="24"/>
        </w:rPr>
        <w:t>121.</w:t>
      </w:r>
      <w:r>
        <w:rPr>
          <w:sz w:val="24"/>
          <w:szCs w:val="24"/>
        </w:rPr>
        <w:tab/>
        <w:t>Subject to Articles 117-119, where there is an equal division of votes, the chairman of the meeting shall have a casting vote in addition to any other vote he may have.</w:t>
      </w:r>
    </w:p>
    <w:p>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pPr>
        <w:pStyle w:val="DfESOutNumbered"/>
        <w:numPr>
          <w:ilvl w:val="1"/>
          <w:numId w:val="48"/>
        </w:numPr>
        <w:spacing w:after="200" w:line="360" w:lineRule="auto"/>
        <w:ind w:left="1418" w:hanging="709"/>
        <w:rPr>
          <w:sz w:val="24"/>
          <w:szCs w:val="24"/>
        </w:rPr>
      </w:pPr>
      <w:r>
        <w:rPr>
          <w:sz w:val="24"/>
          <w:szCs w:val="24"/>
        </w:rPr>
        <w:t>any vacancy among their number; or</w:t>
      </w:r>
    </w:p>
    <w:p>
      <w:pPr>
        <w:pStyle w:val="DfESOutNumbered"/>
        <w:numPr>
          <w:ilvl w:val="1"/>
          <w:numId w:val="48"/>
        </w:numPr>
        <w:spacing w:after="200" w:line="360" w:lineRule="auto"/>
        <w:ind w:left="1418" w:hanging="709"/>
        <w:rPr>
          <w:sz w:val="24"/>
          <w:szCs w:val="24"/>
        </w:rPr>
      </w:pPr>
      <w:proofErr w:type="gramStart"/>
      <w:r>
        <w:rPr>
          <w:sz w:val="24"/>
          <w:szCs w:val="24"/>
        </w:rPr>
        <w:t>any</w:t>
      </w:r>
      <w:proofErr w:type="gramEnd"/>
      <w:r>
        <w:rPr>
          <w:sz w:val="24"/>
          <w:szCs w:val="24"/>
        </w:rPr>
        <w:t xml:space="preserve"> defect in the election, appointment or nomination of any Trustee.</w:t>
      </w:r>
    </w:p>
    <w:p>
      <w:pPr>
        <w:pStyle w:val="DfESOutNumbered"/>
        <w:numPr>
          <w:ilvl w:val="0"/>
          <w:numId w:val="0"/>
        </w:numPr>
        <w:spacing w:after="200" w:line="360" w:lineRule="auto"/>
        <w:ind w:left="709" w:hanging="709"/>
        <w:rPr>
          <w:sz w:val="24"/>
          <w:szCs w:val="24"/>
        </w:rPr>
      </w:pPr>
      <w:r>
        <w:rPr>
          <w:sz w:val="24"/>
          <w:szCs w:val="24"/>
        </w:rPr>
        <w:t>123.</w:t>
      </w:r>
      <w:r>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pPr>
        <w:pStyle w:val="DfESOutNumbered"/>
        <w:numPr>
          <w:ilvl w:val="0"/>
          <w:numId w:val="0"/>
        </w:numPr>
        <w:spacing w:after="200" w:line="360" w:lineRule="auto"/>
        <w:rPr>
          <w:sz w:val="24"/>
          <w:szCs w:val="24"/>
        </w:rPr>
      </w:pPr>
      <w:r>
        <w:rPr>
          <w:sz w:val="24"/>
          <w:szCs w:val="24"/>
        </w:rPr>
        <w:t>124.</w:t>
      </w:r>
      <w:r>
        <w:rPr>
          <w:sz w:val="24"/>
          <w:szCs w:val="24"/>
        </w:rPr>
        <w:tab/>
        <w:t>Subject to Article 125, the Trustees shall ensure that a copy of:</w:t>
      </w:r>
    </w:p>
    <w:p>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the agenda for every meeting of the Trustees;</w:t>
      </w:r>
    </w:p>
    <w:p>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the draft minutes of every such meeting, if they have been approved by the person acting as chairman of that meeting;</w:t>
      </w:r>
    </w:p>
    <w:p>
      <w:pPr>
        <w:pStyle w:val="DfESOutNumbered"/>
        <w:numPr>
          <w:ilvl w:val="1"/>
          <w:numId w:val="48"/>
        </w:numPr>
        <w:spacing w:after="200" w:line="360" w:lineRule="auto"/>
        <w:ind w:left="1418" w:hanging="709"/>
        <w:rPr>
          <w:sz w:val="24"/>
          <w:szCs w:val="24"/>
        </w:rPr>
      </w:pPr>
      <w:r>
        <w:rPr>
          <w:sz w:val="24"/>
          <w:szCs w:val="24"/>
        </w:rPr>
        <w:t>the signed minutes of every such meeting; and</w:t>
      </w:r>
    </w:p>
    <w:p>
      <w:pPr>
        <w:pStyle w:val="DfESOutNumbered"/>
        <w:numPr>
          <w:ilvl w:val="1"/>
          <w:numId w:val="48"/>
        </w:numPr>
        <w:spacing w:after="200" w:line="360" w:lineRule="auto"/>
        <w:ind w:left="1418" w:hanging="709"/>
        <w:rPr>
          <w:sz w:val="24"/>
          <w:szCs w:val="24"/>
        </w:rPr>
      </w:pPr>
      <w:r>
        <w:rPr>
          <w:sz w:val="24"/>
          <w:szCs w:val="24"/>
        </w:rPr>
        <w:t>any report, document or other paper considered at any such meeting,</w:t>
      </w:r>
    </w:p>
    <w:p>
      <w:pPr>
        <w:pStyle w:val="DfESOutNumbered"/>
        <w:numPr>
          <w:ilvl w:val="0"/>
          <w:numId w:val="0"/>
        </w:numPr>
        <w:spacing w:after="200" w:line="360" w:lineRule="auto"/>
        <w:ind w:left="709"/>
      </w:pPr>
      <w:proofErr w:type="gramStart"/>
      <w:r>
        <w:rPr>
          <w:sz w:val="24"/>
          <w:szCs w:val="24"/>
        </w:rPr>
        <w:t>are</w:t>
      </w:r>
      <w:proofErr w:type="gramEnd"/>
      <w:r>
        <w:rPr>
          <w:sz w:val="24"/>
          <w:szCs w:val="24"/>
        </w:rPr>
        <w:t>, as soon as is reasonably practicable, made available at every Academy to persons wishing to inspect them.</w:t>
      </w:r>
    </w:p>
    <w:p>
      <w:pPr>
        <w:pStyle w:val="DfESOutNumbered"/>
        <w:numPr>
          <w:ilvl w:val="0"/>
          <w:numId w:val="0"/>
        </w:numPr>
        <w:spacing w:after="200" w:line="360" w:lineRule="auto"/>
        <w:ind w:left="709" w:hanging="709"/>
        <w:rPr>
          <w:sz w:val="24"/>
          <w:szCs w:val="24"/>
        </w:rPr>
      </w:pPr>
      <w:r>
        <w:rPr>
          <w:sz w:val="24"/>
          <w:szCs w:val="24"/>
        </w:rPr>
        <w:t>125.</w:t>
      </w:r>
      <w:r>
        <w:rPr>
          <w:sz w:val="24"/>
          <w:szCs w:val="24"/>
        </w:rPr>
        <w:tab/>
        <w:t>There may be excluded from any item required to be made available in pursuance of Article 124, any material relating to:</w:t>
      </w:r>
    </w:p>
    <w:p>
      <w:pPr>
        <w:pStyle w:val="DfESOutNumbered"/>
        <w:numPr>
          <w:ilvl w:val="0"/>
          <w:numId w:val="0"/>
        </w:numPr>
        <w:spacing w:after="200" w:line="360" w:lineRule="auto"/>
        <w:ind w:left="1418" w:hanging="709"/>
        <w:rPr>
          <w:sz w:val="24"/>
          <w:szCs w:val="24"/>
        </w:rPr>
      </w:pPr>
      <w:proofErr w:type="gramStart"/>
      <w:r>
        <w:rPr>
          <w:sz w:val="24"/>
          <w:szCs w:val="24"/>
        </w:rPr>
        <w:t>a</w:t>
      </w:r>
      <w:proofErr w:type="gramEnd"/>
      <w:r>
        <w:rPr>
          <w:sz w:val="24"/>
          <w:szCs w:val="24"/>
        </w:rPr>
        <w:t>.</w:t>
      </w:r>
      <w:r>
        <w:rPr>
          <w:sz w:val="24"/>
          <w:szCs w:val="24"/>
        </w:rPr>
        <w:tab/>
        <w:t>a named teacher or other person employed, or proposed to be employed, at any Academy;</w:t>
      </w:r>
    </w:p>
    <w:p>
      <w:pPr>
        <w:pStyle w:val="DfESOutNumbered"/>
        <w:numPr>
          <w:ilvl w:val="0"/>
          <w:numId w:val="0"/>
        </w:numPr>
        <w:spacing w:after="200" w:line="360" w:lineRule="auto"/>
        <w:ind w:left="1418" w:hanging="709"/>
        <w:rPr>
          <w:sz w:val="24"/>
          <w:szCs w:val="24"/>
        </w:rPr>
      </w:pPr>
      <w:proofErr w:type="gramStart"/>
      <w:r>
        <w:rPr>
          <w:sz w:val="24"/>
          <w:szCs w:val="24"/>
        </w:rPr>
        <w:t>b</w:t>
      </w:r>
      <w:proofErr w:type="gramEnd"/>
      <w:r>
        <w:rPr>
          <w:sz w:val="24"/>
          <w:szCs w:val="24"/>
        </w:rPr>
        <w:t>.</w:t>
      </w:r>
      <w:r>
        <w:rPr>
          <w:sz w:val="24"/>
          <w:szCs w:val="24"/>
        </w:rPr>
        <w:tab/>
        <w:t>a named pupil or named student at, or candidate for admission or referral to, any Academy; and</w:t>
      </w:r>
    </w:p>
    <w:p>
      <w:pPr>
        <w:pStyle w:val="DfESOutNumbered"/>
        <w:numPr>
          <w:ilvl w:val="0"/>
          <w:numId w:val="0"/>
        </w:numPr>
        <w:spacing w:after="200" w:line="360" w:lineRule="auto"/>
        <w:ind w:left="1418" w:hanging="709"/>
        <w:rPr>
          <w:sz w:val="24"/>
          <w:szCs w:val="24"/>
        </w:rPr>
      </w:pPr>
      <w:proofErr w:type="gramStart"/>
      <w:r>
        <w:rPr>
          <w:sz w:val="24"/>
          <w:szCs w:val="24"/>
        </w:rPr>
        <w:t>c</w:t>
      </w:r>
      <w:proofErr w:type="gramEnd"/>
      <w:r>
        <w:rPr>
          <w:sz w:val="24"/>
          <w:szCs w:val="24"/>
        </w:rPr>
        <w:t>.</w:t>
      </w:r>
      <w:r>
        <w:rPr>
          <w:sz w:val="24"/>
          <w:szCs w:val="24"/>
        </w:rPr>
        <w:tab/>
        <w:t>any matter which, by reason of its nature, the Trustees are satisfied should remain confidential.</w:t>
      </w:r>
    </w:p>
    <w:p>
      <w:pPr>
        <w:pStyle w:val="DfESOutNumbered"/>
        <w:numPr>
          <w:ilvl w:val="0"/>
          <w:numId w:val="0"/>
        </w:numPr>
        <w:spacing w:after="200" w:line="360" w:lineRule="auto"/>
        <w:ind w:left="709" w:hanging="709"/>
        <w:rPr>
          <w:sz w:val="24"/>
          <w:szCs w:val="24"/>
        </w:rPr>
      </w:pPr>
      <w:r>
        <w:rPr>
          <w:sz w:val="24"/>
          <w:szCs w:val="24"/>
        </w:rPr>
        <w:t>126.</w:t>
      </w:r>
      <w:r>
        <w:rPr>
          <w:sz w:val="24"/>
          <w:szCs w:val="24"/>
        </w:rPr>
        <w:tab/>
        <w:t>Any Trustee shall be able to participate in meetings of the Trustees by telephone or video conference provided that:</w:t>
      </w:r>
    </w:p>
    <w:p>
      <w:pPr>
        <w:pStyle w:val="DfESOutNumbered"/>
        <w:numPr>
          <w:ilvl w:val="0"/>
          <w:numId w:val="0"/>
        </w:numPr>
        <w:spacing w:after="200" w:line="360" w:lineRule="auto"/>
        <w:ind w:left="1418" w:hanging="709"/>
        <w:rPr>
          <w:sz w:val="24"/>
          <w:szCs w:val="24"/>
        </w:rPr>
      </w:pPr>
      <w:r>
        <w:rPr>
          <w:sz w:val="24"/>
          <w:szCs w:val="24"/>
        </w:rPr>
        <w:t>a.</w:t>
      </w:r>
      <w:r>
        <w:rPr>
          <w:sz w:val="24"/>
          <w:szCs w:val="24"/>
        </w:rPr>
        <w:tab/>
        <w:t>he has given notice of his intention to do so detailing the telephone number on which he can be reached and/or appropriate details of the video conference suite from which he shall be taking part at the time of the meeting at least 48 hours before the meeting; and</w:t>
      </w:r>
    </w:p>
    <w:p>
      <w:pPr>
        <w:pStyle w:val="DfESOutNumbered"/>
        <w:numPr>
          <w:ilvl w:val="0"/>
          <w:numId w:val="0"/>
        </w:numPr>
        <w:spacing w:after="200" w:line="360" w:lineRule="auto"/>
        <w:ind w:left="1418" w:hanging="709"/>
        <w:rPr>
          <w:sz w:val="24"/>
          <w:szCs w:val="24"/>
        </w:rPr>
      </w:pPr>
      <w:r>
        <w:rPr>
          <w:sz w:val="24"/>
          <w:szCs w:val="24"/>
        </w:rPr>
        <w:t>b.</w:t>
      </w:r>
      <w:r>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pPr>
        <w:pStyle w:val="Heading1"/>
        <w:pageBreakBefore w:val="0"/>
        <w:widowControl w:val="0"/>
        <w:rPr>
          <w:color w:val="auto"/>
          <w:sz w:val="24"/>
        </w:rPr>
      </w:pPr>
      <w:bookmarkStart w:id="23" w:name="_Toc442359855"/>
      <w:r>
        <w:rPr>
          <w:color w:val="auto"/>
          <w:sz w:val="24"/>
        </w:rPr>
        <w:t>PATRONS AND HONORARY OFFICERS</w:t>
      </w:r>
      <w:bookmarkEnd w:id="23"/>
    </w:p>
    <w:p>
      <w:pPr>
        <w:pStyle w:val="DfESOutNumbered"/>
        <w:numPr>
          <w:ilvl w:val="0"/>
          <w:numId w:val="0"/>
        </w:numPr>
        <w:spacing w:after="200" w:line="360" w:lineRule="auto"/>
        <w:ind w:left="709" w:hanging="709"/>
        <w:rPr>
          <w:sz w:val="24"/>
          <w:szCs w:val="24"/>
        </w:rPr>
      </w:pPr>
      <w:r>
        <w:rPr>
          <w:sz w:val="24"/>
          <w:szCs w:val="24"/>
        </w:rPr>
        <w:t>127.</w:t>
      </w:r>
      <w:r>
        <w:rPr>
          <w:sz w:val="24"/>
          <w:szCs w:val="24"/>
        </w:rPr>
        <w:tab/>
        <w:t>The Trustees may from time to time appoint any person whether or not a Member of the Academy Trust to be a patron of the Academy Trust or to hold any honorary office and may determine for what period he is to hold such office.</w:t>
      </w:r>
    </w:p>
    <w:p>
      <w:pPr>
        <w:pStyle w:val="DfESOutNumbered"/>
        <w:numPr>
          <w:ilvl w:val="0"/>
          <w:numId w:val="0"/>
        </w:numPr>
        <w:spacing w:after="200" w:line="360" w:lineRule="auto"/>
        <w:ind w:left="709" w:hanging="709"/>
        <w:rPr>
          <w:sz w:val="24"/>
          <w:szCs w:val="24"/>
        </w:rPr>
      </w:pPr>
    </w:p>
    <w:p>
      <w:pPr>
        <w:pStyle w:val="DfESOutNumbered"/>
        <w:numPr>
          <w:ilvl w:val="0"/>
          <w:numId w:val="0"/>
        </w:numPr>
        <w:spacing w:after="200" w:line="360" w:lineRule="auto"/>
        <w:ind w:left="709" w:hanging="709"/>
        <w:rPr>
          <w:sz w:val="24"/>
          <w:szCs w:val="24"/>
        </w:rPr>
      </w:pPr>
    </w:p>
    <w:p>
      <w:pPr>
        <w:pStyle w:val="Heading1"/>
        <w:pageBreakBefore w:val="0"/>
        <w:widowControl w:val="0"/>
        <w:rPr>
          <w:color w:val="auto"/>
          <w:sz w:val="24"/>
        </w:rPr>
      </w:pPr>
      <w:bookmarkStart w:id="24" w:name="_Toc442359856"/>
      <w:r>
        <w:rPr>
          <w:color w:val="auto"/>
          <w:sz w:val="24"/>
        </w:rPr>
        <w:t>THE SEAL</w:t>
      </w:r>
      <w:bookmarkEnd w:id="24"/>
    </w:p>
    <w:p>
      <w:pPr>
        <w:pStyle w:val="DfESOutNumbered"/>
        <w:numPr>
          <w:ilvl w:val="0"/>
          <w:numId w:val="0"/>
        </w:numPr>
        <w:spacing w:after="200" w:line="360" w:lineRule="auto"/>
        <w:ind w:left="709" w:hanging="709"/>
        <w:rPr>
          <w:sz w:val="24"/>
          <w:szCs w:val="24"/>
        </w:rPr>
      </w:pPr>
      <w:r>
        <w:rPr>
          <w:sz w:val="24"/>
          <w:szCs w:val="24"/>
        </w:rPr>
        <w:t>128.</w:t>
      </w:r>
      <w:r>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pPr>
        <w:pStyle w:val="Heading1"/>
        <w:pageBreakBefore w:val="0"/>
        <w:widowControl w:val="0"/>
        <w:rPr>
          <w:color w:val="auto"/>
          <w:sz w:val="24"/>
        </w:rPr>
      </w:pPr>
      <w:bookmarkStart w:id="25" w:name="_Toc442359857"/>
      <w:r>
        <w:rPr>
          <w:color w:val="auto"/>
          <w:sz w:val="24"/>
        </w:rPr>
        <w:t>ACCOUNTS</w:t>
      </w:r>
      <w:bookmarkEnd w:id="25"/>
    </w:p>
    <w:p>
      <w:pPr>
        <w:pStyle w:val="DfESOutNumbered"/>
        <w:numPr>
          <w:ilvl w:val="0"/>
          <w:numId w:val="0"/>
        </w:numPr>
        <w:spacing w:after="200" w:line="360" w:lineRule="auto"/>
        <w:ind w:left="709" w:hanging="709"/>
      </w:pPr>
      <w:r>
        <w:rPr>
          <w:sz w:val="24"/>
          <w:szCs w:val="24"/>
        </w:rPr>
        <w:t>129.</w:t>
      </w:r>
      <w:r>
        <w:rPr>
          <w:sz w:val="24"/>
          <w:szCs w:val="24"/>
        </w:rPr>
        <w:tab/>
        <w:t>Accounts shall be prepared in accordance with the relevant statement of recommended practice published by the Charity Commission from time to time (the “</w:t>
      </w:r>
      <w:r>
        <w:rPr>
          <w:b/>
          <w:sz w:val="24"/>
          <w:szCs w:val="24"/>
        </w:rPr>
        <w:t>Statement of Recommended Practice</w:t>
      </w:r>
      <w:r>
        <w:rPr>
          <w:sz w:val="24"/>
          <w:szCs w:val="24"/>
        </w:rPr>
        <w:t>”) as if the Academy Trust was a non-exempt charity and Parts 15 and 16 of the Companies Act 2006 and shall file these with the Secretary of State and the Principal Regulator by 31 December each Academy Financial Year.</w:t>
      </w:r>
    </w:p>
    <w:p>
      <w:pPr>
        <w:pStyle w:val="Heading1"/>
        <w:pageBreakBefore w:val="0"/>
        <w:rPr>
          <w:color w:val="auto"/>
          <w:sz w:val="24"/>
        </w:rPr>
      </w:pPr>
      <w:bookmarkStart w:id="26" w:name="_Toc442359858"/>
      <w:r>
        <w:rPr>
          <w:color w:val="auto"/>
          <w:sz w:val="24"/>
        </w:rPr>
        <w:t>ANNUAL REPORT</w:t>
      </w:r>
      <w:bookmarkEnd w:id="26"/>
    </w:p>
    <w:p>
      <w:pPr>
        <w:pStyle w:val="DfESOutNumbered"/>
        <w:numPr>
          <w:ilvl w:val="0"/>
          <w:numId w:val="0"/>
        </w:numPr>
        <w:spacing w:after="200" w:line="360" w:lineRule="auto"/>
        <w:ind w:left="709" w:hanging="709"/>
        <w:rPr>
          <w:sz w:val="24"/>
          <w:szCs w:val="24"/>
        </w:rPr>
      </w:pPr>
      <w:r>
        <w:rPr>
          <w:sz w:val="24"/>
          <w:szCs w:val="24"/>
        </w:rPr>
        <w:t>130.</w:t>
      </w:r>
      <w:r>
        <w:rPr>
          <w:sz w:val="24"/>
          <w:szCs w:val="24"/>
        </w:rPr>
        <w:tab/>
        <w:t>The Trustees shall prepare its Annual Report in accordance with the Statement of Recommended Practice as if the Academy Trust was a non-exempt charity and shall file these with the Secretary of State and the Principal Regulator by 31 December each Academy Financial Year.</w:t>
      </w:r>
    </w:p>
    <w:p>
      <w:pPr>
        <w:pStyle w:val="Heading1"/>
        <w:pageBreakBefore w:val="0"/>
        <w:rPr>
          <w:color w:val="auto"/>
          <w:sz w:val="24"/>
        </w:rPr>
      </w:pPr>
      <w:bookmarkStart w:id="27" w:name="_Toc442359859"/>
      <w:r>
        <w:rPr>
          <w:color w:val="auto"/>
          <w:sz w:val="24"/>
        </w:rPr>
        <w:t>ANNUAL RETURN</w:t>
      </w:r>
      <w:bookmarkEnd w:id="27"/>
    </w:p>
    <w:p>
      <w:pPr>
        <w:pStyle w:val="DfESOutNumbered"/>
        <w:numPr>
          <w:ilvl w:val="0"/>
          <w:numId w:val="0"/>
        </w:numPr>
        <w:spacing w:after="200" w:line="360" w:lineRule="auto"/>
        <w:ind w:left="709" w:hanging="709"/>
        <w:rPr>
          <w:sz w:val="24"/>
          <w:szCs w:val="24"/>
        </w:rPr>
      </w:pPr>
      <w:r>
        <w:rPr>
          <w:sz w:val="24"/>
          <w:szCs w:val="24"/>
        </w:rPr>
        <w:t>131.</w:t>
      </w:r>
      <w:r>
        <w:rPr>
          <w:sz w:val="24"/>
          <w:szCs w:val="24"/>
        </w:rPr>
        <w:tab/>
        <w:t>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w:t>
      </w:r>
    </w:p>
    <w:p>
      <w:pPr>
        <w:pStyle w:val="Heading1"/>
        <w:pageBreakBefore w:val="0"/>
        <w:rPr>
          <w:color w:val="auto"/>
          <w:sz w:val="24"/>
        </w:rPr>
      </w:pPr>
      <w:bookmarkStart w:id="28" w:name="_Toc442359860"/>
      <w:r>
        <w:rPr>
          <w:color w:val="auto"/>
          <w:sz w:val="24"/>
        </w:rPr>
        <w:t>NOTICES</w:t>
      </w:r>
      <w:bookmarkEnd w:id="28"/>
    </w:p>
    <w:p>
      <w:pPr>
        <w:pStyle w:val="DfESOutNumbered"/>
        <w:numPr>
          <w:ilvl w:val="0"/>
          <w:numId w:val="0"/>
        </w:numPr>
        <w:spacing w:after="200" w:line="360" w:lineRule="auto"/>
        <w:ind w:left="709" w:hanging="709"/>
        <w:rPr>
          <w:sz w:val="24"/>
          <w:szCs w:val="24"/>
        </w:rPr>
      </w:pPr>
      <w:r>
        <w:rPr>
          <w:sz w:val="24"/>
          <w:szCs w:val="24"/>
        </w:rPr>
        <w:t>132.</w:t>
      </w:r>
      <w:r>
        <w:rPr>
          <w:sz w:val="24"/>
          <w:szCs w:val="24"/>
        </w:rPr>
        <w:tab/>
        <w:t>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pPr>
        <w:pStyle w:val="DfESOutNumbered"/>
        <w:numPr>
          <w:ilvl w:val="0"/>
          <w:numId w:val="0"/>
        </w:numPr>
        <w:spacing w:after="200" w:line="360" w:lineRule="auto"/>
        <w:ind w:left="709" w:hanging="709"/>
        <w:rPr>
          <w:sz w:val="24"/>
          <w:szCs w:val="24"/>
        </w:rPr>
      </w:pPr>
      <w:r>
        <w:rPr>
          <w:sz w:val="24"/>
          <w:szCs w:val="24"/>
        </w:rPr>
        <w:t>133.</w:t>
      </w:r>
      <w:r>
        <w:rPr>
          <w:sz w:val="24"/>
          <w:szCs w:val="24"/>
        </w:rPr>
        <w:tab/>
        <w:t>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w:t>
      </w:r>
    </w:p>
    <w:p>
      <w:pPr>
        <w:pStyle w:val="DfESOutNumbered"/>
        <w:keepNext/>
        <w:keepLines/>
        <w:widowControl/>
        <w:numPr>
          <w:ilvl w:val="0"/>
          <w:numId w:val="0"/>
        </w:numPr>
        <w:spacing w:after="200" w:line="360" w:lineRule="auto"/>
        <w:ind w:left="709" w:hanging="709"/>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pPr>
        <w:pStyle w:val="DfESOutNumbered"/>
        <w:numPr>
          <w:ilvl w:val="0"/>
          <w:numId w:val="0"/>
        </w:numPr>
        <w:spacing w:after="200" w:line="360" w:lineRule="auto"/>
        <w:ind w:left="709" w:hanging="709"/>
        <w:rPr>
          <w:sz w:val="24"/>
          <w:szCs w:val="24"/>
        </w:rPr>
      </w:pPr>
      <w:r>
        <w:rPr>
          <w:sz w:val="24"/>
          <w:szCs w:val="24"/>
        </w:rPr>
        <w:t>135.</w:t>
      </w:r>
      <w:r>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pPr>
        <w:pStyle w:val="Heading1"/>
        <w:pageBreakBefore w:val="0"/>
        <w:rPr>
          <w:color w:val="auto"/>
          <w:sz w:val="24"/>
        </w:rPr>
      </w:pPr>
      <w:bookmarkStart w:id="29" w:name="_Toc442359861"/>
      <w:r>
        <w:rPr>
          <w:color w:val="auto"/>
          <w:sz w:val="24"/>
        </w:rPr>
        <w:t>INDEMNITY</w:t>
      </w:r>
      <w:bookmarkEnd w:id="29"/>
    </w:p>
    <w:p>
      <w:pPr>
        <w:pStyle w:val="DfESOutNumbered"/>
        <w:numPr>
          <w:ilvl w:val="0"/>
          <w:numId w:val="0"/>
        </w:numPr>
        <w:spacing w:after="200" w:line="360" w:lineRule="auto"/>
        <w:ind w:left="709" w:hanging="709"/>
        <w:rPr>
          <w:sz w:val="24"/>
          <w:szCs w:val="24"/>
        </w:rPr>
      </w:pPr>
      <w:r>
        <w:rPr>
          <w:sz w:val="24"/>
          <w:szCs w:val="24"/>
        </w:rPr>
        <w:t>136.</w:t>
      </w:r>
      <w:r>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pPr>
        <w:pStyle w:val="Heading1"/>
        <w:pageBreakBefore w:val="0"/>
        <w:rPr>
          <w:color w:val="auto"/>
          <w:sz w:val="24"/>
        </w:rPr>
      </w:pPr>
      <w:bookmarkStart w:id="30" w:name="_Toc442359862"/>
      <w:r>
        <w:rPr>
          <w:color w:val="auto"/>
          <w:sz w:val="24"/>
        </w:rPr>
        <w:t>RULES</w:t>
      </w:r>
      <w:bookmarkEnd w:id="30"/>
    </w:p>
    <w:p>
      <w:pPr>
        <w:pStyle w:val="DfESOutNumbered"/>
        <w:numPr>
          <w:ilvl w:val="0"/>
          <w:numId w:val="0"/>
        </w:numPr>
        <w:spacing w:after="200" w:line="360" w:lineRule="auto"/>
        <w:ind w:left="709" w:hanging="709"/>
        <w:rPr>
          <w:sz w:val="24"/>
          <w:szCs w:val="24"/>
        </w:rPr>
      </w:pPr>
      <w:r>
        <w:rPr>
          <w:sz w:val="24"/>
          <w:szCs w:val="24"/>
        </w:rPr>
        <w:t>137.</w:t>
      </w:r>
      <w:r>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pPr>
        <w:pStyle w:val="DfESOutNumbered"/>
        <w:numPr>
          <w:ilvl w:val="0"/>
          <w:numId w:val="49"/>
        </w:numPr>
        <w:spacing w:after="200" w:line="360" w:lineRule="auto"/>
        <w:ind w:left="1418" w:hanging="709"/>
        <w:rPr>
          <w:sz w:val="24"/>
          <w:szCs w:val="24"/>
        </w:rPr>
      </w:pPr>
      <w:r>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pPr>
        <w:pStyle w:val="DfESOutNumbered"/>
        <w:numPr>
          <w:ilvl w:val="0"/>
          <w:numId w:val="49"/>
        </w:numPr>
        <w:spacing w:after="200" w:line="360" w:lineRule="auto"/>
        <w:ind w:left="1418" w:hanging="709"/>
        <w:rPr>
          <w:sz w:val="24"/>
          <w:szCs w:val="24"/>
        </w:rPr>
      </w:pPr>
      <w:r>
        <w:rPr>
          <w:sz w:val="24"/>
          <w:szCs w:val="24"/>
        </w:rPr>
        <w:t>the conduct of Members of the Academy Trust in relation to one another, and to the Academy Trust’s servants;</w:t>
      </w:r>
    </w:p>
    <w:p>
      <w:pPr>
        <w:pStyle w:val="DfESOutNumbered"/>
        <w:numPr>
          <w:ilvl w:val="0"/>
          <w:numId w:val="49"/>
        </w:numPr>
        <w:spacing w:after="200" w:line="360" w:lineRule="auto"/>
        <w:ind w:left="1418" w:hanging="709"/>
        <w:rPr>
          <w:sz w:val="24"/>
          <w:szCs w:val="24"/>
        </w:rPr>
      </w:pPr>
      <w:r>
        <w:rPr>
          <w:sz w:val="24"/>
          <w:szCs w:val="24"/>
        </w:rPr>
        <w:t>the setting aside of the whole or any part or parts of the Academy Trust’s premises at any particular time or times or for any particular purpose or purposes;</w:t>
      </w:r>
    </w:p>
    <w:p>
      <w:pPr>
        <w:pStyle w:val="DfESOutNumbered"/>
        <w:numPr>
          <w:ilvl w:val="0"/>
          <w:numId w:val="49"/>
        </w:numPr>
        <w:spacing w:after="200" w:line="360" w:lineRule="auto"/>
        <w:ind w:left="1418" w:hanging="709"/>
      </w:pPr>
      <w:r>
        <w:rPr>
          <w:sz w:val="24"/>
          <w:szCs w:val="24"/>
        </w:rPr>
        <w:t>the procedure at General Meetings and meetings of the Trustees and committees of the Trustees and meetings of the Local Governing Bodies in so far as such procedure is not regulated by the Articles; and</w:t>
      </w:r>
    </w:p>
    <w:p>
      <w:pPr>
        <w:pStyle w:val="DfESOutNumbered"/>
        <w:numPr>
          <w:ilvl w:val="0"/>
          <w:numId w:val="49"/>
        </w:numPr>
        <w:spacing w:after="200" w:line="360" w:lineRule="auto"/>
        <w:ind w:left="1418" w:hanging="709"/>
        <w:rPr>
          <w:sz w:val="24"/>
          <w:szCs w:val="24"/>
        </w:rPr>
      </w:pPr>
      <w:proofErr w:type="gramStart"/>
      <w:r>
        <w:rPr>
          <w:sz w:val="24"/>
          <w:szCs w:val="24"/>
        </w:rPr>
        <w:t>generally</w:t>
      </w:r>
      <w:proofErr w:type="gramEnd"/>
      <w:r>
        <w:rPr>
          <w:sz w:val="24"/>
          <w:szCs w:val="24"/>
        </w:rPr>
        <w:t>, all such matters as are commonly the subject matter of company rules.</w:t>
      </w:r>
    </w:p>
    <w:p>
      <w:pPr>
        <w:pStyle w:val="DfESOutNumbered"/>
        <w:numPr>
          <w:ilvl w:val="0"/>
          <w:numId w:val="0"/>
        </w:numPr>
        <w:spacing w:after="200" w:line="360" w:lineRule="auto"/>
        <w:ind w:left="709" w:hanging="709"/>
        <w:rPr>
          <w:sz w:val="24"/>
          <w:szCs w:val="24"/>
        </w:rPr>
      </w:pPr>
      <w:r>
        <w:rPr>
          <w:sz w:val="24"/>
          <w:szCs w:val="24"/>
        </w:rPr>
        <w:t>138.</w:t>
      </w:r>
      <w:r>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pPr>
        <w:pStyle w:val="Heading1"/>
        <w:pageBreakBefore w:val="0"/>
        <w:rPr>
          <w:color w:val="auto"/>
          <w:sz w:val="24"/>
        </w:rPr>
      </w:pPr>
      <w:bookmarkStart w:id="31" w:name="_Toc442359863"/>
      <w:r>
        <w:rPr>
          <w:color w:val="auto"/>
          <w:sz w:val="24"/>
        </w:rPr>
        <w:t>AVOIDING INFLUENCED COMPANY STATUS</w:t>
      </w:r>
      <w:bookmarkEnd w:id="31"/>
    </w:p>
    <w:p>
      <w:pPr>
        <w:pStyle w:val="DfESOutNumbered"/>
        <w:numPr>
          <w:ilvl w:val="0"/>
          <w:numId w:val="0"/>
        </w:numPr>
        <w:spacing w:after="200" w:line="360" w:lineRule="auto"/>
        <w:ind w:left="709" w:hanging="709"/>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pPr>
        <w:pStyle w:val="DfESOutNumbered"/>
        <w:numPr>
          <w:ilvl w:val="0"/>
          <w:numId w:val="0"/>
        </w:numPr>
        <w:spacing w:after="200" w:line="360" w:lineRule="auto"/>
        <w:ind w:left="709" w:hanging="709"/>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pPr>
        <w:pStyle w:val="DfESOutNumbered"/>
        <w:numPr>
          <w:ilvl w:val="0"/>
          <w:numId w:val="0"/>
        </w:numPr>
        <w:spacing w:after="200" w:line="360" w:lineRule="auto"/>
        <w:ind w:left="709" w:hanging="709"/>
        <w:rPr>
          <w:sz w:val="24"/>
          <w:szCs w:val="24"/>
        </w:rPr>
      </w:pPr>
      <w:r>
        <w:rPr>
          <w:sz w:val="24"/>
          <w:szCs w:val="24"/>
        </w:rPr>
        <w:t>141.</w:t>
      </w:r>
      <w:r>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pPr>
        <w:pStyle w:val="DfESOutNumbered"/>
        <w:numPr>
          <w:ilvl w:val="0"/>
          <w:numId w:val="0"/>
        </w:numPr>
        <w:spacing w:after="200" w:line="360" w:lineRule="auto"/>
        <w:ind w:left="709" w:hanging="709"/>
        <w:rPr>
          <w:sz w:val="24"/>
          <w:szCs w:val="24"/>
        </w:rPr>
      </w:pPr>
      <w:r>
        <w:rPr>
          <w:sz w:val="24"/>
          <w:szCs w:val="24"/>
        </w:rPr>
        <w:t>142.</w:t>
      </w:r>
      <w:r>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pPr>
        <w:pStyle w:val="DfESOutNumbered"/>
        <w:numPr>
          <w:ilvl w:val="0"/>
          <w:numId w:val="0"/>
        </w:numPr>
        <w:spacing w:after="200" w:line="360" w:lineRule="auto"/>
        <w:ind w:left="709" w:hanging="709"/>
        <w:rPr>
          <w:sz w:val="24"/>
          <w:szCs w:val="24"/>
        </w:rPr>
      </w:pPr>
      <w:r>
        <w:rPr>
          <w:sz w:val="24"/>
          <w:szCs w:val="24"/>
        </w:rPr>
        <w:t>143.</w:t>
      </w:r>
      <w:r>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pPr>
        <w:pStyle w:val="DfESOutNumbered"/>
        <w:numPr>
          <w:ilvl w:val="0"/>
          <w:numId w:val="0"/>
        </w:numPr>
        <w:spacing w:after="200" w:line="360" w:lineRule="auto"/>
        <w:ind w:left="709" w:hanging="709"/>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sectPr>
      <w:headerReference w:type="default" r:id="rId14"/>
      <w:footerReference w:type="default" r:id="rId15"/>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ind w:firstLine="4513"/>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Optional</w:t>
      </w:r>
    </w:p>
  </w:footnote>
  <w:footnote w:id="3">
    <w:p>
      <w:pPr>
        <w:pStyle w:val="FootnoteText"/>
      </w:pPr>
      <w:r>
        <w:rPr>
          <w:rStyle w:val="FootnoteReference"/>
        </w:rPr>
        <w:footnoteRef/>
      </w:r>
      <w:r>
        <w:t xml:space="preserve"> </w:t>
      </w:r>
      <w:r>
        <w:rPr>
          <w:rFonts w:cs="Arial"/>
        </w:rPr>
        <w:t>Trustees perform similar governance functions to those of governing bodies in maintained schools</w:t>
      </w:r>
    </w:p>
  </w:footnote>
  <w:footnote w:id="4">
    <w:p>
      <w:pPr>
        <w:pStyle w:val="FootnoteText"/>
      </w:pPr>
      <w:r>
        <w:rPr>
          <w:rStyle w:val="FootnoteReference"/>
        </w:rPr>
        <w:footnoteRef/>
      </w:r>
      <w:r>
        <w:t xml:space="preserve"> A Member who is also a Trustee is subject to the restrictions on trustee benefits in articles 6.3 – 6.9.</w:t>
      </w:r>
    </w:p>
  </w:footnote>
  <w:footnote w:id="5">
    <w:p>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w:t>
      </w:r>
    </w:p>
  </w:footnote>
  <w:footnote w:id="6">
    <w:p>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If members are to be appointed by a body or entity under (c) then that body or entity should be a Member. We would recommend that any such body or entity is a signatory to the Memorandum.</w:t>
      </w:r>
    </w:p>
  </w:footnote>
  <w:footnote w:id="7">
    <w:p>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Numbered"/>
      <w:spacing w:line="360" w:lineRule="auto"/>
      <w:jc w:val="center"/>
    </w:pPr>
    <w:r>
      <w:t xml:space="preserve">ACADEMY ARTICLES OF ASSOCIATION </w:t>
    </w:r>
  </w:p>
  <w:p>
    <w:pPr>
      <w:pStyle w:val="Numbered"/>
      <w:spacing w:after="0" w:line="360" w:lineRule="auto"/>
      <w:jc w:val="center"/>
    </w:pPr>
    <w:r>
      <w:t>For use by mainstream, special, 16-19, alternative provision, free and studio schools</w:t>
    </w:r>
  </w:p>
  <w:p>
    <w:pPr>
      <w:pStyle w:val="Numbered"/>
      <w:spacing w:after="0"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E9193B"/>
    <w:multiLevelType w:val="hybridMultilevel"/>
    <w:tmpl w:val="5C9A05BE"/>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 w15:restartNumberingAfterBreak="0">
    <w:nsid w:val="01AC5DB5"/>
    <w:multiLevelType w:val="hybridMultilevel"/>
    <w:tmpl w:val="68FA99B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03201A1A"/>
    <w:multiLevelType w:val="multilevel"/>
    <w:tmpl w:val="1CF8D20E"/>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3C54E8D"/>
    <w:multiLevelType w:val="hybridMultilevel"/>
    <w:tmpl w:val="9FAC0498"/>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4933BB"/>
    <w:multiLevelType w:val="multilevel"/>
    <w:tmpl w:val="7EF84C9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07D4002F"/>
    <w:multiLevelType w:val="multilevel"/>
    <w:tmpl w:val="BA08589A"/>
    <w:lvl w:ilvl="0">
      <w:start w:val="15"/>
      <w:numFmt w:val="lowerLetter"/>
      <w:lvlText w:val="%1."/>
      <w:lvlJc w:val="left"/>
      <w:pPr>
        <w:ind w:left="177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F148CA"/>
    <w:multiLevelType w:val="multilevel"/>
    <w:tmpl w:val="4E22DD0C"/>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11" w15:restartNumberingAfterBreak="0">
    <w:nsid w:val="089F7027"/>
    <w:multiLevelType w:val="multilevel"/>
    <w:tmpl w:val="9D80BA22"/>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0AC60133"/>
    <w:multiLevelType w:val="multilevel"/>
    <w:tmpl w:val="A89A86FE"/>
    <w:lvl w:ilvl="0">
      <w:start w:val="2"/>
      <w:numFmt w:val="lowerLetter"/>
      <w:lvlText w:val="%1."/>
      <w:lvlJc w:val="left"/>
      <w:pPr>
        <w:ind w:left="23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E469BC"/>
    <w:multiLevelType w:val="multilevel"/>
    <w:tmpl w:val="58867A20"/>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C5426B3"/>
    <w:multiLevelType w:val="hybridMultilevel"/>
    <w:tmpl w:val="9CE44522"/>
    <w:lvl w:ilvl="0" w:tplc="0809000F">
      <w:start w:val="107"/>
      <w:numFmt w:val="decimal"/>
      <w:lvlText w:val="%1."/>
      <w:lvlJc w:val="left"/>
      <w:pPr>
        <w:tabs>
          <w:tab w:val="num" w:pos="720"/>
        </w:tabs>
        <w:ind w:left="720" w:hanging="360"/>
      </w:pPr>
      <w:rPr>
        <w:rFonts w:cs="Times New Roman" w:hint="default"/>
      </w:rPr>
    </w:lvl>
    <w:lvl w:ilvl="1" w:tplc="FB941420">
      <w:start w:val="1"/>
      <w:numFmt w:val="lowerRoman"/>
      <w:lvlText w:val="%2)"/>
      <w:lvlJc w:val="left"/>
      <w:pPr>
        <w:tabs>
          <w:tab w:val="num" w:pos="1800"/>
        </w:tabs>
        <w:ind w:left="1800" w:hanging="720"/>
      </w:pPr>
      <w:rPr>
        <w:rFonts w:cs="Times New Roman"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410B38"/>
    <w:multiLevelType w:val="hybridMultilevel"/>
    <w:tmpl w:val="4F1C7A0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B474D"/>
    <w:multiLevelType w:val="multilevel"/>
    <w:tmpl w:val="40F2E37A"/>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14A03EE"/>
    <w:multiLevelType w:val="multilevel"/>
    <w:tmpl w:val="04DA7C10"/>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1372384C"/>
    <w:multiLevelType w:val="multilevel"/>
    <w:tmpl w:val="D5C0B9E0"/>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3D63C77"/>
    <w:multiLevelType w:val="multilevel"/>
    <w:tmpl w:val="C430D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434A36"/>
    <w:multiLevelType w:val="hybridMultilevel"/>
    <w:tmpl w:val="798EB5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7B22DD"/>
    <w:multiLevelType w:val="hybridMultilevel"/>
    <w:tmpl w:val="C8D63EC4"/>
    <w:lvl w:ilvl="0" w:tplc="08090019">
      <w:start w:val="1"/>
      <w:numFmt w:val="lowerLetter"/>
      <w:lvlText w:val="%1."/>
      <w:lvlJc w:val="left"/>
      <w:pPr>
        <w:ind w:left="720" w:hanging="360"/>
      </w:pPr>
    </w:lvl>
    <w:lvl w:ilvl="1" w:tplc="4E64A2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C96422"/>
    <w:multiLevelType w:val="multilevel"/>
    <w:tmpl w:val="74AEAE0C"/>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6F7BA9"/>
    <w:multiLevelType w:val="hybridMultilevel"/>
    <w:tmpl w:val="880E2700"/>
    <w:lvl w:ilvl="0" w:tplc="281E8856">
      <w:start w:val="1"/>
      <w:numFmt w:val="lowerRoman"/>
      <w:lvlText w:val="%1."/>
      <w:lvlJc w:val="left"/>
      <w:pPr>
        <w:ind w:left="1569" w:hanging="360"/>
      </w:pPr>
      <w:rPr>
        <w:rFonts w:hint="default"/>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26"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1A0153FC"/>
    <w:multiLevelType w:val="multilevel"/>
    <w:tmpl w:val="89D2CCC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1A306344"/>
    <w:multiLevelType w:val="multilevel"/>
    <w:tmpl w:val="DF0460BC"/>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A722E6B"/>
    <w:multiLevelType w:val="hybridMultilevel"/>
    <w:tmpl w:val="F104E7DE"/>
    <w:lvl w:ilvl="0" w:tplc="281E8856">
      <w:start w:val="1"/>
      <w:numFmt w:val="lowerRoman"/>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1B443291"/>
    <w:multiLevelType w:val="hybridMultilevel"/>
    <w:tmpl w:val="C9123E9C"/>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1DA033A6"/>
    <w:multiLevelType w:val="multilevel"/>
    <w:tmpl w:val="60D660E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25480494"/>
    <w:multiLevelType w:val="multilevel"/>
    <w:tmpl w:val="998E7E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25EA3D8E"/>
    <w:multiLevelType w:val="multilevel"/>
    <w:tmpl w:val="73088F68"/>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260B2529"/>
    <w:multiLevelType w:val="multilevel"/>
    <w:tmpl w:val="65722B18"/>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15:restartNumberingAfterBreak="0">
    <w:nsid w:val="261F3D3D"/>
    <w:multiLevelType w:val="multilevel"/>
    <w:tmpl w:val="09BE293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297B1C6B"/>
    <w:multiLevelType w:val="multilevel"/>
    <w:tmpl w:val="E50A369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C700B73"/>
    <w:multiLevelType w:val="multilevel"/>
    <w:tmpl w:val="E3B2AD5A"/>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192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CA86545"/>
    <w:multiLevelType w:val="multilevel"/>
    <w:tmpl w:val="A58A0812"/>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2DFC5978"/>
    <w:multiLevelType w:val="hybridMultilevel"/>
    <w:tmpl w:val="10CCCEF6"/>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2EA10218"/>
    <w:multiLevelType w:val="hybridMultilevel"/>
    <w:tmpl w:val="8014FBB4"/>
    <w:lvl w:ilvl="0" w:tplc="D796354C">
      <w:start w:val="1"/>
      <w:numFmt w:val="lowerLetter"/>
      <w:lvlText w:val="%1."/>
      <w:lvlJc w:val="left"/>
      <w:pPr>
        <w:ind w:left="1440" w:hanging="360"/>
      </w:pPr>
      <w:rPr>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F2C7919"/>
    <w:multiLevelType w:val="hybridMultilevel"/>
    <w:tmpl w:val="F3409E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FBE49AB"/>
    <w:multiLevelType w:val="hybridMultilevel"/>
    <w:tmpl w:val="F3C21DA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861"/>
        </w:tabs>
        <w:ind w:left="861" w:hanging="435"/>
      </w:pPr>
      <w:rPr>
        <w:rFonts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1C16444"/>
    <w:multiLevelType w:val="multilevel"/>
    <w:tmpl w:val="BBE493FA"/>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505F8D"/>
    <w:multiLevelType w:val="multilevel"/>
    <w:tmpl w:val="E53AA32E"/>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B71DC7"/>
    <w:multiLevelType w:val="hybridMultilevel"/>
    <w:tmpl w:val="458C58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3C5B22BE"/>
    <w:multiLevelType w:val="multilevel"/>
    <w:tmpl w:val="00C0FEC2"/>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50" w15:restartNumberingAfterBreak="0">
    <w:nsid w:val="3E3B0DC6"/>
    <w:multiLevelType w:val="hybridMultilevel"/>
    <w:tmpl w:val="DBC46C18"/>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8D6FE3"/>
    <w:multiLevelType w:val="multilevel"/>
    <w:tmpl w:val="54F0EC98"/>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2" w15:restartNumberingAfterBreak="0">
    <w:nsid w:val="3F351462"/>
    <w:multiLevelType w:val="multilevel"/>
    <w:tmpl w:val="32E85C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4F5AF8"/>
    <w:multiLevelType w:val="multilevel"/>
    <w:tmpl w:val="6F4A0A1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422377E8"/>
    <w:multiLevelType w:val="hybridMultilevel"/>
    <w:tmpl w:val="96C0ECBC"/>
    <w:lvl w:ilvl="0" w:tplc="281E8856">
      <w:start w:val="1"/>
      <w:numFmt w:val="lowerRoman"/>
      <w:lvlText w:val="%1."/>
      <w:lvlJc w:val="left"/>
      <w:pPr>
        <w:ind w:left="1620" w:hanging="360"/>
      </w:pPr>
      <w:rPr>
        <w:rFonts w:hint="default"/>
      </w:rPr>
    </w:lvl>
    <w:lvl w:ilvl="1" w:tplc="281E8856">
      <w:start w:val="1"/>
      <w:numFmt w:val="lowerRoman"/>
      <w:lvlText w:val="%2."/>
      <w:lvlJc w:val="left"/>
      <w:pPr>
        <w:ind w:left="2340" w:hanging="36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5" w15:restartNumberingAfterBreak="0">
    <w:nsid w:val="429355A5"/>
    <w:multiLevelType w:val="hybridMultilevel"/>
    <w:tmpl w:val="AA749678"/>
    <w:lvl w:ilvl="0" w:tplc="AD1463EA">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493101C"/>
    <w:multiLevelType w:val="multilevel"/>
    <w:tmpl w:val="640A5EFC"/>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71A6F35"/>
    <w:multiLevelType w:val="multilevel"/>
    <w:tmpl w:val="302A26C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5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490214BA"/>
    <w:multiLevelType w:val="hybridMultilevel"/>
    <w:tmpl w:val="4D2AB8C6"/>
    <w:lvl w:ilvl="0" w:tplc="281E8856">
      <w:start w:val="1"/>
      <w:numFmt w:val="lowerRoman"/>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15:restartNumberingAfterBreak="0">
    <w:nsid w:val="490F7A0B"/>
    <w:multiLevelType w:val="hybridMultilevel"/>
    <w:tmpl w:val="B9E28E40"/>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1"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861"/>
        </w:tabs>
        <w:ind w:left="861" w:hanging="435"/>
      </w:pPr>
      <w:rPr>
        <w:rFonts w:cs="Times New Roman" w:hint="default"/>
      </w:rPr>
    </w:lvl>
    <w:lvl w:ilvl="2" w:tplc="462C727C">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B5A033D"/>
    <w:multiLevelType w:val="hybridMultilevel"/>
    <w:tmpl w:val="E1D2F38E"/>
    <w:lvl w:ilvl="0" w:tplc="B644DD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4C9668A8"/>
    <w:multiLevelType w:val="hybridMultilevel"/>
    <w:tmpl w:val="78164F3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D086E23"/>
    <w:multiLevelType w:val="hybridMultilevel"/>
    <w:tmpl w:val="6686B5BE"/>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99A856D2">
      <w:start w:val="1"/>
      <w:numFmt w:val="lowerLetter"/>
      <w:lvlText w:val="(%3)"/>
      <w:lvlJc w:val="left"/>
      <w:pPr>
        <w:tabs>
          <w:tab w:val="num" w:pos="2700"/>
        </w:tabs>
        <w:ind w:left="2700" w:hanging="720"/>
      </w:pPr>
      <w:rPr>
        <w:rFonts w:cs="Times New Roman"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E781943"/>
    <w:multiLevelType w:val="multilevel"/>
    <w:tmpl w:val="961C3FFE"/>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4FFB1B37"/>
    <w:multiLevelType w:val="multilevel"/>
    <w:tmpl w:val="9E326D1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502D0CF3"/>
    <w:multiLevelType w:val="multilevel"/>
    <w:tmpl w:val="DF3C7EBE"/>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0813684"/>
    <w:multiLevelType w:val="multilevel"/>
    <w:tmpl w:val="3A70413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24E3D54"/>
    <w:multiLevelType w:val="hybridMultilevel"/>
    <w:tmpl w:val="0AC224D8"/>
    <w:lvl w:ilvl="0" w:tplc="B098530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28F0B5E"/>
    <w:multiLevelType w:val="multilevel"/>
    <w:tmpl w:val="86F62B8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15:restartNumberingAfterBreak="0">
    <w:nsid w:val="52AC6826"/>
    <w:multiLevelType w:val="hybridMultilevel"/>
    <w:tmpl w:val="988810C2"/>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606123"/>
    <w:multiLevelType w:val="multilevel"/>
    <w:tmpl w:val="A17EC5C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4"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7A34D88"/>
    <w:multiLevelType w:val="multilevel"/>
    <w:tmpl w:val="6102F48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rPr>
        <w:rFonts w:cs="Times New Roman"/>
      </w:r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57C97524"/>
    <w:multiLevelType w:val="multilevel"/>
    <w:tmpl w:val="8A102842"/>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58C00225"/>
    <w:multiLevelType w:val="multilevel"/>
    <w:tmpl w:val="F63CE6B4"/>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8" w15:restartNumberingAfterBreak="0">
    <w:nsid w:val="5B84239A"/>
    <w:multiLevelType w:val="hybridMultilevel"/>
    <w:tmpl w:val="0CA464A8"/>
    <w:lvl w:ilvl="0" w:tplc="92CC10F4">
      <w:start w:val="16"/>
      <w:numFmt w:val="lowerLetter"/>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5C241F92"/>
    <w:multiLevelType w:val="hybridMultilevel"/>
    <w:tmpl w:val="C6DC5CE2"/>
    <w:lvl w:ilvl="0" w:tplc="CABAD2E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F645598"/>
    <w:multiLevelType w:val="multilevel"/>
    <w:tmpl w:val="02D61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FC5444B"/>
    <w:multiLevelType w:val="hybridMultilevel"/>
    <w:tmpl w:val="85A2359C"/>
    <w:lvl w:ilvl="0" w:tplc="BBB0D1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36E4615"/>
    <w:multiLevelType w:val="multilevel"/>
    <w:tmpl w:val="9EB0323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7DA63F9"/>
    <w:multiLevelType w:val="multilevel"/>
    <w:tmpl w:val="42E4B1B0"/>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5"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lvlText w:val="%1.%2"/>
      <w:lvlJc w:val="left"/>
      <w:pPr>
        <w:tabs>
          <w:tab w:val="num" w:pos="851"/>
        </w:tabs>
        <w:ind w:left="851" w:hanging="851"/>
      </w:pPr>
      <w:rPr>
        <w:rFonts w:cs="Times New Roman"/>
        <w:b w:val="0"/>
        <w:i w:val="0"/>
        <w:u w:val="none"/>
      </w:rPr>
    </w:lvl>
    <w:lvl w:ilvl="2">
      <w:start w:val="1"/>
      <w:numFmt w:val="lowerLetter"/>
      <w:lvlText w:val="(%3)"/>
      <w:lvlJc w:val="left"/>
      <w:pPr>
        <w:tabs>
          <w:tab w:val="num" w:pos="1701"/>
        </w:tabs>
        <w:ind w:left="1701" w:hanging="850"/>
      </w:pPr>
      <w:rPr>
        <w:rFonts w:cs="Times New Roman"/>
        <w:b w:val="0"/>
        <w:i w:val="0"/>
        <w:u w:val="none"/>
      </w:rPr>
    </w:lvl>
    <w:lvl w:ilvl="3">
      <w:start w:val="1"/>
      <w:numFmt w:val="lowerRoman"/>
      <w:lvlText w:val="(%4)"/>
      <w:lvlJc w:val="left"/>
      <w:pPr>
        <w:tabs>
          <w:tab w:val="num" w:pos="2552"/>
        </w:tabs>
        <w:ind w:left="2552" w:hanging="851"/>
      </w:pPr>
      <w:rPr>
        <w:rFonts w:cs="Times New Roman"/>
        <w:b w:val="0"/>
        <w:i w:val="0"/>
        <w:u w:val="none"/>
      </w:rPr>
    </w:lvl>
    <w:lvl w:ilvl="4">
      <w:start w:val="1"/>
      <w:numFmt w:val="decimal"/>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86" w15:restartNumberingAfterBreak="0">
    <w:nsid w:val="691D3E29"/>
    <w:multiLevelType w:val="multilevel"/>
    <w:tmpl w:val="B7F6F9AC"/>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AAD2FE8"/>
    <w:multiLevelType w:val="hybridMultilevel"/>
    <w:tmpl w:val="101414D8"/>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7">
      <w:start w:val="1"/>
      <w:numFmt w:val="lowerLetter"/>
      <w:lvlText w:val="%5)"/>
      <w:lvlJc w:val="left"/>
      <w:pPr>
        <w:tabs>
          <w:tab w:val="num" w:pos="927"/>
        </w:tabs>
        <w:ind w:left="927" w:hanging="360"/>
      </w:p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B1439F7"/>
    <w:multiLevelType w:val="hybridMultilevel"/>
    <w:tmpl w:val="E012D80C"/>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9" w15:restartNumberingAfterBreak="0">
    <w:nsid w:val="6C1523A4"/>
    <w:multiLevelType w:val="hybridMultilevel"/>
    <w:tmpl w:val="3B90847E"/>
    <w:lvl w:ilvl="0" w:tplc="08090019">
      <w:start w:val="1"/>
      <w:numFmt w:val="lowerLetter"/>
      <w:lvlText w:val="%1."/>
      <w:lvlJc w:val="left"/>
      <w:pPr>
        <w:ind w:left="720" w:hanging="360"/>
      </w:pPr>
    </w:lvl>
    <w:lvl w:ilvl="1" w:tplc="366AC72A">
      <w:start w:val="1"/>
      <w:numFmt w:val="lowerLetter"/>
      <w:lvlText w:val="%2."/>
      <w:lvlJc w:val="left"/>
      <w:pPr>
        <w:ind w:left="1440" w:hanging="360"/>
      </w:pPr>
      <w:rPr>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C170B15"/>
    <w:multiLevelType w:val="multilevel"/>
    <w:tmpl w:val="A81019EA"/>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1" w15:restartNumberingAfterBreak="0">
    <w:nsid w:val="6C606DFA"/>
    <w:multiLevelType w:val="multilevel"/>
    <w:tmpl w:val="CA549FF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6F205C3E"/>
    <w:multiLevelType w:val="multilevel"/>
    <w:tmpl w:val="DB721EB4"/>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714F2FA2"/>
    <w:multiLevelType w:val="hybridMultilevel"/>
    <w:tmpl w:val="178C93E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4" w15:restartNumberingAfterBreak="0">
    <w:nsid w:val="748C766D"/>
    <w:multiLevelType w:val="hybridMultilevel"/>
    <w:tmpl w:val="F432CE50"/>
    <w:lvl w:ilvl="0" w:tplc="FF8E91B6">
      <w:start w:val="92"/>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F8323792">
      <w:start w:val="1"/>
      <w:numFmt w:val="lowerLetter"/>
      <w:lvlText w:val="%4)"/>
      <w:lvlJc w:val="left"/>
      <w:pPr>
        <w:tabs>
          <w:tab w:val="num" w:pos="2880"/>
        </w:tabs>
        <w:ind w:left="2880" w:hanging="360"/>
      </w:pPr>
      <w:rPr>
        <w:rFonts w:cs="Times New Roman"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6CA7862"/>
    <w:multiLevelType w:val="hybridMultilevel"/>
    <w:tmpl w:val="4692D6D0"/>
    <w:lvl w:ilvl="0" w:tplc="0809000F">
      <w:start w:val="107"/>
      <w:numFmt w:val="decimal"/>
      <w:lvlText w:val="%1."/>
      <w:lvlJc w:val="left"/>
      <w:pPr>
        <w:tabs>
          <w:tab w:val="num" w:pos="720"/>
        </w:tabs>
        <w:ind w:left="720" w:hanging="360"/>
      </w:pPr>
      <w:rPr>
        <w:rFonts w:cs="Times New Roman" w:hint="default"/>
      </w:rPr>
    </w:lvl>
    <w:lvl w:ilvl="1" w:tplc="281E8856">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cs="Times New Roman"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7BB21DE"/>
    <w:multiLevelType w:val="multilevel"/>
    <w:tmpl w:val="008C67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15:restartNumberingAfterBreak="0">
    <w:nsid w:val="7B4A0C89"/>
    <w:multiLevelType w:val="hybridMultilevel"/>
    <w:tmpl w:val="25C8BE78"/>
    <w:lvl w:ilvl="0" w:tplc="08EC96F0">
      <w:start w:val="3"/>
      <w:numFmt w:val="lowerLetter"/>
      <w:lvlText w:val="%1."/>
      <w:lvlJc w:val="left"/>
      <w:pPr>
        <w:ind w:left="234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F5380B"/>
    <w:multiLevelType w:val="multilevel"/>
    <w:tmpl w:val="923CA68E"/>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3"/>
  </w:num>
  <w:num w:numId="2">
    <w:abstractNumId w:val="37"/>
  </w:num>
  <w:num w:numId="3">
    <w:abstractNumId w:val="91"/>
  </w:num>
  <w:num w:numId="4">
    <w:abstractNumId w:val="36"/>
  </w:num>
  <w:num w:numId="5">
    <w:abstractNumId w:val="39"/>
  </w:num>
  <w:num w:numId="6">
    <w:abstractNumId w:val="13"/>
  </w:num>
  <w:num w:numId="7">
    <w:abstractNumId w:val="69"/>
  </w:num>
  <w:num w:numId="8">
    <w:abstractNumId w:val="24"/>
  </w:num>
  <w:num w:numId="9">
    <w:abstractNumId w:val="76"/>
  </w:num>
  <w:num w:numId="10">
    <w:abstractNumId w:val="98"/>
  </w:num>
  <w:num w:numId="11">
    <w:abstractNumId w:val="31"/>
  </w:num>
  <w:num w:numId="12">
    <w:abstractNumId w:val="51"/>
  </w:num>
  <w:num w:numId="13">
    <w:abstractNumId w:val="19"/>
  </w:num>
  <w:num w:numId="14">
    <w:abstractNumId w:val="10"/>
  </w:num>
  <w:num w:numId="15">
    <w:abstractNumId w:val="90"/>
  </w:num>
  <w:num w:numId="16">
    <w:abstractNumId w:val="5"/>
  </w:num>
  <w:num w:numId="17">
    <w:abstractNumId w:val="96"/>
  </w:num>
  <w:num w:numId="18">
    <w:abstractNumId w:val="67"/>
  </w:num>
  <w:num w:numId="19">
    <w:abstractNumId w:val="73"/>
  </w:num>
  <w:num w:numId="20">
    <w:abstractNumId w:val="77"/>
  </w:num>
  <w:num w:numId="21">
    <w:abstractNumId w:val="9"/>
  </w:num>
  <w:num w:numId="22">
    <w:abstractNumId w:val="21"/>
  </w:num>
  <w:num w:numId="23">
    <w:abstractNumId w:val="20"/>
  </w:num>
  <w:num w:numId="24">
    <w:abstractNumId w:val="49"/>
  </w:num>
  <w:num w:numId="25">
    <w:abstractNumId w:val="12"/>
  </w:num>
  <w:num w:numId="26">
    <w:abstractNumId w:val="80"/>
  </w:num>
  <w:num w:numId="27">
    <w:abstractNumId w:val="57"/>
  </w:num>
  <w:num w:numId="28">
    <w:abstractNumId w:val="71"/>
  </w:num>
  <w:num w:numId="29">
    <w:abstractNumId w:val="46"/>
  </w:num>
  <w:num w:numId="30">
    <w:abstractNumId w:val="52"/>
  </w:num>
  <w:num w:numId="31">
    <w:abstractNumId w:val="68"/>
  </w:num>
  <w:num w:numId="32">
    <w:abstractNumId w:val="84"/>
  </w:num>
  <w:num w:numId="33">
    <w:abstractNumId w:val="44"/>
  </w:num>
  <w:num w:numId="34">
    <w:abstractNumId w:val="47"/>
  </w:num>
  <w:num w:numId="35">
    <w:abstractNumId w:val="66"/>
  </w:num>
  <w:num w:numId="36">
    <w:abstractNumId w:val="56"/>
  </w:num>
  <w:num w:numId="37">
    <w:abstractNumId w:val="38"/>
  </w:num>
  <w:num w:numId="38">
    <w:abstractNumId w:val="86"/>
  </w:num>
  <w:num w:numId="39">
    <w:abstractNumId w:val="82"/>
  </w:num>
  <w:num w:numId="40">
    <w:abstractNumId w:val="63"/>
  </w:num>
  <w:num w:numId="41">
    <w:abstractNumId w:val="17"/>
  </w:num>
  <w:num w:numId="42">
    <w:abstractNumId w:val="32"/>
  </w:num>
  <w:num w:numId="43">
    <w:abstractNumId w:val="8"/>
  </w:num>
  <w:num w:numId="44">
    <w:abstractNumId w:val="75"/>
  </w:num>
  <w:num w:numId="45">
    <w:abstractNumId w:val="28"/>
  </w:num>
  <w:num w:numId="46">
    <w:abstractNumId w:val="53"/>
  </w:num>
  <w:num w:numId="47">
    <w:abstractNumId w:val="11"/>
  </w:num>
  <w:num w:numId="48">
    <w:abstractNumId w:val="34"/>
  </w:num>
  <w:num w:numId="49">
    <w:abstractNumId w:val="27"/>
  </w:num>
  <w:num w:numId="50">
    <w:abstractNumId w:val="83"/>
  </w:num>
  <w:num w:numId="51">
    <w:abstractNumId w:val="18"/>
  </w:num>
  <w:num w:numId="52">
    <w:abstractNumId w:val="0"/>
  </w:num>
  <w:num w:numId="53">
    <w:abstractNumId w:val="16"/>
  </w:num>
  <w:num w:numId="54">
    <w:abstractNumId w:val="2"/>
  </w:num>
  <w:num w:numId="55">
    <w:abstractNumId w:val="1"/>
  </w:num>
  <w:num w:numId="56">
    <w:abstractNumId w:val="45"/>
  </w:num>
  <w:num w:numId="57">
    <w:abstractNumId w:val="26"/>
  </w:num>
  <w:num w:numId="58">
    <w:abstractNumId w:val="58"/>
  </w:num>
  <w:num w:numId="59">
    <w:abstractNumId w:val="35"/>
  </w:num>
  <w:num w:numId="60">
    <w:abstractNumId w:val="85"/>
  </w:num>
  <w:num w:numId="61">
    <w:abstractNumId w:val="65"/>
  </w:num>
  <w:num w:numId="62">
    <w:abstractNumId w:val="61"/>
  </w:num>
  <w:num w:numId="63">
    <w:abstractNumId w:val="50"/>
  </w:num>
  <w:num w:numId="64">
    <w:abstractNumId w:val="79"/>
  </w:num>
  <w:num w:numId="65">
    <w:abstractNumId w:val="6"/>
  </w:num>
  <w:num w:numId="66">
    <w:abstractNumId w:val="74"/>
  </w:num>
  <w:num w:numId="67">
    <w:abstractNumId w:val="70"/>
  </w:num>
  <w:num w:numId="68">
    <w:abstractNumId w:val="30"/>
  </w:num>
  <w:num w:numId="69">
    <w:abstractNumId w:val="41"/>
  </w:num>
  <w:num w:numId="70">
    <w:abstractNumId w:val="59"/>
  </w:num>
  <w:num w:numId="71">
    <w:abstractNumId w:val="78"/>
  </w:num>
  <w:num w:numId="72">
    <w:abstractNumId w:val="22"/>
  </w:num>
  <w:num w:numId="73">
    <w:abstractNumId w:val="4"/>
  </w:num>
  <w:num w:numId="74">
    <w:abstractNumId w:val="64"/>
  </w:num>
  <w:num w:numId="75">
    <w:abstractNumId w:val="25"/>
  </w:num>
  <w:num w:numId="76">
    <w:abstractNumId w:val="55"/>
  </w:num>
  <w:num w:numId="77">
    <w:abstractNumId w:val="42"/>
  </w:num>
  <w:num w:numId="78">
    <w:abstractNumId w:val="29"/>
  </w:num>
  <w:num w:numId="79">
    <w:abstractNumId w:val="3"/>
  </w:num>
  <w:num w:numId="80">
    <w:abstractNumId w:val="81"/>
  </w:num>
  <w:num w:numId="81">
    <w:abstractNumId w:val="62"/>
  </w:num>
  <w:num w:numId="82">
    <w:abstractNumId w:val="23"/>
  </w:num>
  <w:num w:numId="83">
    <w:abstractNumId w:val="54"/>
  </w:num>
  <w:num w:numId="84">
    <w:abstractNumId w:val="89"/>
  </w:num>
  <w:num w:numId="85">
    <w:abstractNumId w:val="97"/>
  </w:num>
  <w:num w:numId="86">
    <w:abstractNumId w:val="43"/>
  </w:num>
  <w:num w:numId="87">
    <w:abstractNumId w:val="40"/>
  </w:num>
  <w:num w:numId="88">
    <w:abstractNumId w:val="7"/>
  </w:num>
  <w:num w:numId="89">
    <w:abstractNumId w:val="15"/>
  </w:num>
  <w:num w:numId="90">
    <w:abstractNumId w:val="72"/>
  </w:num>
  <w:num w:numId="91">
    <w:abstractNumId w:val="93"/>
  </w:num>
  <w:num w:numId="92">
    <w:abstractNumId w:val="94"/>
  </w:num>
  <w:num w:numId="93">
    <w:abstractNumId w:val="88"/>
  </w:num>
  <w:num w:numId="94">
    <w:abstractNumId w:val="95"/>
  </w:num>
  <w:num w:numId="95">
    <w:abstractNumId w:val="14"/>
  </w:num>
  <w:num w:numId="96">
    <w:abstractNumId w:val="87"/>
  </w:num>
  <w:num w:numId="97">
    <w:abstractNumId w:val="60"/>
  </w:num>
  <w:num w:numId="98">
    <w:abstractNumId w:val="92"/>
  </w:num>
  <w:num w:numId="99">
    <w:abstractNumId w:val="4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CE9C-61C5-427C-B15C-67760B6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spacing w:after="240" w:line="288" w:lineRule="auto"/>
      <w:textAlignment w:val="auto"/>
    </w:pPr>
    <w:rPr>
      <w:color w:val="0D0D0D" w:themeColor="text1" w:themeTint="F2"/>
      <w:sz w:val="24"/>
      <w:szCs w:val="24"/>
    </w:rPr>
  </w:style>
  <w:style w:type="paragraph" w:styleId="Heading1">
    <w:name w:val="heading 1"/>
    <w:aliases w:val="Numbered - 1"/>
    <w:basedOn w:val="Normal"/>
    <w:next w:val="Normal"/>
    <w:link w:val="Heading1Char"/>
    <w:qFormat/>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pPr>
      <w:spacing w:before="360"/>
      <w:outlineLvl w:val="2"/>
    </w:pPr>
    <w:rPr>
      <w:bCs/>
      <w:sz w:val="28"/>
      <w:szCs w:val="28"/>
    </w:rPr>
  </w:style>
  <w:style w:type="paragraph" w:styleId="Heading4">
    <w:name w:val="heading 4"/>
    <w:aliases w:val="Numbered - 4"/>
    <w:basedOn w:val="Heading2"/>
    <w:next w:val="Normal"/>
    <w:link w:val="Heading4Char"/>
    <w:qFormat/>
    <w:pPr>
      <w:spacing w:before="240"/>
      <w:outlineLvl w:val="3"/>
    </w:pPr>
    <w:rPr>
      <w:bCs/>
      <w:sz w:val="24"/>
      <w:szCs w:val="28"/>
    </w:rPr>
  </w:style>
  <w:style w:type="paragraph" w:styleId="Heading5">
    <w:name w:val="heading 5"/>
    <w:aliases w:val="Numbered - 5"/>
    <w:basedOn w:val="Normal"/>
    <w:next w:val="Normal"/>
    <w:link w:val="Heading5Char"/>
    <w:qFormat/>
    <w:pPr>
      <w:numPr>
        <w:ilvl w:val="4"/>
        <w:numId w:val="1"/>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qFormat/>
    <w:pPr>
      <w:numPr>
        <w:ilvl w:val="5"/>
        <w:numId w:val="1"/>
      </w:numPr>
      <w:spacing w:before="240" w:after="60"/>
      <w:outlineLvl w:val="5"/>
    </w:pPr>
    <w:rPr>
      <w:rFonts w:ascii="Calibri" w:hAnsi="Calibri"/>
      <w:b/>
      <w:bCs/>
      <w:szCs w:val="22"/>
    </w:rPr>
  </w:style>
  <w:style w:type="paragraph" w:styleId="Heading7">
    <w:name w:val="heading 7"/>
    <w:aliases w:val="Numbered - 7"/>
    <w:basedOn w:val="Normal"/>
    <w:next w:val="Normal"/>
    <w:link w:val="Heading7Char"/>
    <w:qFormat/>
    <w:pPr>
      <w:numPr>
        <w:ilvl w:val="6"/>
        <w:numId w:val="1"/>
      </w:numPr>
      <w:spacing w:before="240" w:after="60"/>
      <w:outlineLvl w:val="6"/>
    </w:pPr>
    <w:rPr>
      <w:rFonts w:ascii="Calibri" w:hAnsi="Calibri"/>
    </w:rPr>
  </w:style>
  <w:style w:type="paragraph" w:styleId="Heading8">
    <w:name w:val="heading 8"/>
    <w:aliases w:val="Numbered - 8"/>
    <w:basedOn w:val="Normal"/>
    <w:next w:val="Normal"/>
    <w:link w:val="Heading8Char"/>
    <w:qFormat/>
    <w:pPr>
      <w:numPr>
        <w:ilvl w:val="7"/>
        <w:numId w:val="1"/>
      </w:numPr>
      <w:spacing w:before="240" w:after="60"/>
      <w:outlineLvl w:val="7"/>
    </w:pPr>
    <w:rPr>
      <w:rFonts w:ascii="Calibri" w:hAnsi="Calibri"/>
      <w:i/>
      <w:iCs/>
    </w:rPr>
  </w:style>
  <w:style w:type="paragraph" w:styleId="Heading9">
    <w:name w:val="heading 9"/>
    <w:aliases w:val="Numbered - 9"/>
    <w:basedOn w:val="Normal"/>
    <w:next w:val="Normal"/>
    <w:link w:val="Heading9Char"/>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aliases w:val="Numbered - 1 Char"/>
    <w:link w:val="Heading1"/>
    <w:rPr>
      <w:b/>
      <w:color w:val="104F75"/>
      <w:sz w:val="36"/>
      <w:szCs w:val="24"/>
    </w:rPr>
  </w:style>
  <w:style w:type="character" w:customStyle="1" w:styleId="Heading2Char">
    <w:name w:val="Heading 2 Char"/>
    <w:aliases w:val="Numbered - 2 Char"/>
    <w:link w:val="Heading2"/>
    <w:rPr>
      <w:b/>
      <w:color w:val="104F75"/>
      <w:sz w:val="32"/>
      <w:szCs w:val="32"/>
    </w:rPr>
  </w:style>
  <w:style w:type="character" w:customStyle="1" w:styleId="Heading3Char">
    <w:name w:val="Heading 3 Char"/>
    <w:aliases w:val="Numbered - 3 Char"/>
    <w:link w:val="Heading3"/>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uiPriority w:val="39"/>
    <w:pPr>
      <w:pageBreakBefore/>
    </w:pPr>
    <w:rPr>
      <w:rFonts w:cs="Arial"/>
      <w:b/>
      <w:color w:val="365F91"/>
      <w:sz w:val="36"/>
      <w:szCs w:val="28"/>
      <w:lang w:eastAsia="ja-JP"/>
    </w:rPr>
  </w:style>
  <w:style w:type="paragraph" w:customStyle="1" w:styleId="TitleText">
    <w:name w:val="TitleText"/>
    <w:basedOn w:val="Normal"/>
    <w:link w:val="TitleTextChar"/>
    <w:qFormat/>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qFormat/>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uiPriority w:val="39"/>
    <w:qFormat/>
    <w:pPr>
      <w:tabs>
        <w:tab w:val="right" w:pos="9498"/>
      </w:tabs>
      <w:spacing w:after="120"/>
    </w:pPr>
  </w:style>
  <w:style w:type="paragraph" w:styleId="TOC2">
    <w:name w:val="toc 2"/>
    <w:basedOn w:val="Normal"/>
    <w:next w:val="Normal"/>
    <w:autoRedefine/>
    <w:uiPriority w:val="39"/>
    <w:qFormat/>
    <w:pPr>
      <w:tabs>
        <w:tab w:val="right" w:pos="9498"/>
      </w:tabs>
      <w:spacing w:after="120"/>
      <w:ind w:left="238"/>
    </w:pPr>
  </w:style>
  <w:style w:type="paragraph" w:styleId="TOC3">
    <w:name w:val="toc 3"/>
    <w:basedOn w:val="Normal"/>
    <w:next w:val="Normal"/>
    <w:autoRedefine/>
    <w:uiPriority w:val="39"/>
    <w:qFormat/>
    <w:pPr>
      <w:tabs>
        <w:tab w:val="right" w:pos="9498"/>
      </w:tabs>
      <w:spacing w:after="120"/>
      <w:ind w:left="480"/>
    </w:pPr>
  </w:style>
  <w:style w:type="paragraph" w:customStyle="1" w:styleId="CopyrightBox">
    <w:name w:val="CopyrightBox"/>
    <w:basedOn w:val="Normal"/>
    <w:link w:val="CopyrightBoxChar"/>
    <w:qFormat/>
  </w:style>
  <w:style w:type="character" w:customStyle="1" w:styleId="CopyrightBoxChar">
    <w:name w:val="CopyrightBox Char"/>
    <w:link w:val="CopyrightBox"/>
    <w:rPr>
      <w:color w:val="0D0D0D" w:themeColor="text1" w:themeTint="F2"/>
      <w:sz w:val="24"/>
      <w:szCs w:val="24"/>
    </w:rPr>
  </w:style>
  <w:style w:type="paragraph" w:customStyle="1" w:styleId="CopyrightSpacing">
    <w:name w:val="CopyrightSpacing"/>
    <w:basedOn w:val="Normal"/>
    <w:link w:val="CopyrightSpacingChar"/>
    <w:pPr>
      <w:spacing w:before="6000" w:after="120"/>
    </w:pPr>
  </w:style>
  <w:style w:type="character" w:customStyle="1" w:styleId="CopyrightSpacingChar">
    <w:name w:val="CopyrightSpacing Char"/>
    <w:link w:val="CopyrightSpacing"/>
    <w:rPr>
      <w:color w:val="0D0D0D" w:themeColor="text1" w:themeTint="F2"/>
      <w:sz w:val="24"/>
      <w:szCs w:val="24"/>
    </w:rPr>
  </w:style>
  <w:style w:type="paragraph" w:styleId="Title">
    <w:name w:val="Title"/>
    <w:basedOn w:val="Normal"/>
    <w:next w:val="Normal"/>
    <w:link w:val="TitleChar"/>
    <w:qFormat/>
    <w:pPr>
      <w:spacing w:before="240" w:line="240" w:lineRule="auto"/>
    </w:pPr>
    <w:rPr>
      <w:b/>
      <w:color w:val="104F75"/>
      <w:sz w:val="96"/>
      <w:szCs w:val="120"/>
    </w:rPr>
  </w:style>
  <w:style w:type="character" w:customStyle="1" w:styleId="TitleChar">
    <w:name w:val="Title Char"/>
    <w:link w:val="Title"/>
    <w:rPr>
      <w:b/>
      <w:color w:val="104F75"/>
      <w:sz w:val="96"/>
      <w:szCs w:val="120"/>
    </w:rPr>
  </w:style>
  <w:style w:type="paragraph" w:styleId="TableofFigures">
    <w:name w:val="table of figures"/>
    <w:basedOn w:val="Normal"/>
    <w:next w:val="Normal"/>
    <w:uiPriority w:val="99"/>
    <w:pPr>
      <w:spacing w:after="120"/>
    </w:pPr>
  </w:style>
  <w:style w:type="paragraph" w:styleId="ListBullet4">
    <w:name w:val="List Bullet 4"/>
    <w:basedOn w:val="Normal"/>
    <w:pPr>
      <w:numPr>
        <w:numId w:val="6"/>
      </w:numPr>
    </w:pPr>
  </w:style>
  <w:style w:type="paragraph" w:styleId="ListParagraph">
    <w:name w:val="List Paragraph"/>
    <w:basedOn w:val="Normal"/>
    <w:uiPriority w:val="34"/>
    <w:qFormat/>
    <w:pPr>
      <w:numPr>
        <w:numId w:val="10"/>
      </w:numPr>
    </w:pPr>
  </w:style>
  <w:style w:type="paragraph" w:styleId="Caption">
    <w:name w:val="caption"/>
    <w:basedOn w:val="Normal"/>
    <w:next w:val="Normal"/>
    <w:qFormat/>
    <w:pPr>
      <w:spacing w:before="120" w:after="120"/>
      <w:jc w:val="center"/>
    </w:pPr>
    <w:rPr>
      <w:b/>
      <w:bCs/>
      <w:color w:val="000000"/>
      <w:sz w:val="20"/>
      <w:szCs w:val="20"/>
    </w:rPr>
  </w:style>
  <w:style w:type="character" w:customStyle="1" w:styleId="Heading4Char">
    <w:name w:val="Heading 4 Char"/>
    <w:aliases w:val="Numbered - 4 Char"/>
    <w:link w:val="Heading4"/>
    <w:rPr>
      <w:b/>
      <w:bCs/>
      <w:color w:val="104F75"/>
      <w:sz w:val="24"/>
      <w:szCs w:val="28"/>
    </w:rPr>
  </w:style>
  <w:style w:type="character" w:customStyle="1" w:styleId="Heading5Char">
    <w:name w:val="Heading 5 Char"/>
    <w:aliases w:val="Numbered - 5 Char"/>
    <w:link w:val="Heading5"/>
    <w:rPr>
      <w:rFonts w:ascii="Calibri" w:hAnsi="Calibri"/>
      <w:b/>
      <w:bCs/>
      <w:i/>
      <w:iCs/>
      <w:color w:val="0D0D0D" w:themeColor="text1" w:themeTint="F2"/>
      <w:sz w:val="26"/>
      <w:szCs w:val="26"/>
    </w:rPr>
  </w:style>
  <w:style w:type="character" w:customStyle="1" w:styleId="Heading6Char">
    <w:name w:val="Heading 6 Char"/>
    <w:aliases w:val="Numbered - 6 Char"/>
    <w:link w:val="Heading6"/>
    <w:rPr>
      <w:rFonts w:ascii="Calibri" w:hAnsi="Calibri"/>
      <w:b/>
      <w:bCs/>
      <w:color w:val="0D0D0D" w:themeColor="text1" w:themeTint="F2"/>
      <w:sz w:val="24"/>
      <w:szCs w:val="22"/>
    </w:rPr>
  </w:style>
  <w:style w:type="character" w:customStyle="1" w:styleId="Heading7Char">
    <w:name w:val="Heading 7 Char"/>
    <w:aliases w:val="Numbered - 7 Char"/>
    <w:link w:val="Heading7"/>
    <w:rPr>
      <w:rFonts w:ascii="Calibri" w:hAnsi="Calibri"/>
      <w:color w:val="0D0D0D" w:themeColor="text1" w:themeTint="F2"/>
      <w:sz w:val="24"/>
      <w:szCs w:val="24"/>
    </w:rPr>
  </w:style>
  <w:style w:type="character" w:customStyle="1" w:styleId="Heading8Char">
    <w:name w:val="Heading 8 Char"/>
    <w:aliases w:val="Numbered - 8 Char"/>
    <w:link w:val="Heading8"/>
    <w:rPr>
      <w:rFonts w:ascii="Calibri" w:hAnsi="Calibri"/>
      <w:i/>
      <w:iCs/>
      <w:color w:val="0D0D0D" w:themeColor="text1" w:themeTint="F2"/>
      <w:sz w:val="24"/>
      <w:szCs w:val="24"/>
    </w:rPr>
  </w:style>
  <w:style w:type="character" w:customStyle="1" w:styleId="Heading9Char">
    <w:name w:val="Heading 9 Char"/>
    <w:aliases w:val="Numbered - 9 Char"/>
    <w:link w:val="Heading9"/>
    <w:rPr>
      <w:rFonts w:ascii="Cambria" w:hAnsi="Cambria"/>
      <w:color w:val="0D0D0D" w:themeColor="text1" w:themeTint="F2"/>
      <w:sz w:val="24"/>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color w:val="0D0D0D" w:themeColor="text1" w:themeTint="F2"/>
      <w:sz w:val="24"/>
      <w:szCs w:val="24"/>
    </w:rPr>
  </w:style>
  <w:style w:type="paragraph" w:customStyle="1" w:styleId="TableHeader">
    <w:name w:val="TableHeader"/>
    <w:qFormat/>
    <w:pPr>
      <w:suppressAutoHyphens/>
      <w:spacing w:before="60" w:after="60"/>
      <w:ind w:left="57" w:right="57"/>
      <w:jc w:val="center"/>
    </w:pPr>
    <w:rPr>
      <w:b/>
      <w:color w:val="0D0D0D"/>
      <w:sz w:val="24"/>
      <w:szCs w:val="24"/>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color w:val="0D0D0D" w:themeColor="text1" w:themeTint="F2"/>
      <w:sz w:val="16"/>
      <w:szCs w:val="16"/>
    </w:rPr>
  </w:style>
  <w:style w:type="paragraph" w:customStyle="1" w:styleId="TableRow">
    <w:name w:val="TableRow"/>
    <w:link w:val="TableRowChar"/>
    <w:qFormat/>
    <w:pPr>
      <w:suppressAutoHyphens/>
      <w:spacing w:before="60" w:after="60"/>
      <w:ind w:left="57" w:right="57"/>
    </w:pPr>
    <w:rPr>
      <w:color w:val="0D0D0D"/>
      <w:sz w:val="24"/>
      <w:szCs w:val="24"/>
    </w:rPr>
  </w:style>
  <w:style w:type="character" w:customStyle="1" w:styleId="TableRowChar">
    <w:name w:val="TableRow Char"/>
    <w:link w:val="TableRow"/>
    <w:rPr>
      <w:color w:val="0D0D0D"/>
      <w:sz w:val="24"/>
      <w:szCs w:val="24"/>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color w:val="0D0D0D" w:themeColor="text1" w:themeTint="F2"/>
      <w:sz w:val="24"/>
      <w:szCs w:val="24"/>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rPr>
      <w:color w:val="0D0D0D" w:themeColor="text1" w:themeTint="F2"/>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link w:val="FootnoteTextChar"/>
    <w:pPr>
      <w:spacing w:after="60" w:line="240" w:lineRule="auto"/>
    </w:pPr>
    <w:rPr>
      <w:sz w:val="20"/>
      <w:szCs w:val="20"/>
    </w:rPr>
  </w:style>
  <w:style w:type="character" w:customStyle="1" w:styleId="FootnoteTextChar">
    <w:name w:val="Footnote Text Char"/>
    <w:basedOn w:val="DefaultParagraphFont"/>
    <w:link w:val="FootnoteText"/>
    <w:rPr>
      <w:color w:val="0D0D0D" w:themeColor="text1" w:themeTint="F2"/>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color w:val="0D0D0D" w:themeColor="text1" w:themeTint="F2"/>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color w:val="0D0D0D" w:themeColor="text1" w:themeTint="F2"/>
    </w:rPr>
  </w:style>
  <w:style w:type="paragraph" w:customStyle="1" w:styleId="Centredembed">
    <w:name w:val="Centred embed"/>
    <w:basedOn w:val="Normal"/>
    <w:pPr>
      <w:spacing w:after="0"/>
      <w:jc w:val="center"/>
    </w:pPr>
    <w:rPr>
      <w:szCs w:val="20"/>
    </w:rPr>
  </w:style>
  <w:style w:type="paragraph" w:styleId="Date">
    <w:name w:val="Date"/>
    <w:basedOn w:val="Normal"/>
    <w:next w:val="Normal"/>
    <w:link w:val="DateChar"/>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rPr>
      <w:color w:val="0D0D0D"/>
    </w:rPr>
  </w:style>
  <w:style w:type="paragraph" w:customStyle="1" w:styleId="Source">
    <w:name w:val="Source"/>
    <w:basedOn w:val="Normal"/>
    <w:link w:val="SourceChar"/>
    <w:qFormat/>
    <w:pPr>
      <w:jc w:val="right"/>
    </w:pPr>
    <w:rPr>
      <w:color w:val="0D0D0D"/>
      <w:sz w:val="20"/>
      <w:szCs w:val="20"/>
    </w:rPr>
  </w:style>
  <w:style w:type="paragraph" w:customStyle="1" w:styleId="DfESOutNumbered1">
    <w:name w:val="DfESOutNumbered1"/>
    <w:basedOn w:val="Normal"/>
    <w:link w:val="DfESOutNumbered1Char"/>
    <w:qFormat/>
    <w:pPr>
      <w:numPr>
        <w:numId w:val="5"/>
      </w:numPr>
    </w:pPr>
  </w:style>
  <w:style w:type="character" w:customStyle="1" w:styleId="DfESOutNumbered1Char">
    <w:name w:val="DfESOutNumbered1 Char"/>
    <w:link w:val="DfESOutNumbered1"/>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link w:val="SocialMediaChar"/>
    <w:pPr>
      <w:tabs>
        <w:tab w:val="left" w:pos="4253"/>
        <w:tab w:val="left" w:pos="4820"/>
      </w:tabs>
      <w:spacing w:after="0" w:line="240" w:lineRule="auto"/>
      <w:ind w:firstLine="34"/>
    </w:pPr>
  </w:style>
  <w:style w:type="paragraph" w:customStyle="1" w:styleId="Reference">
    <w:name w:val="Reference"/>
    <w:basedOn w:val="Normal"/>
    <w:link w:val="ReferenceChar"/>
    <w:pPr>
      <w:tabs>
        <w:tab w:val="left" w:pos="1701"/>
      </w:tabs>
      <w:spacing w:before="240"/>
    </w:pPr>
  </w:style>
  <w:style w:type="character" w:customStyle="1" w:styleId="SocialMediaChar">
    <w:name w:val="SocialMedia Char"/>
    <w:basedOn w:val="DefaultParagraphFont"/>
    <w:link w:val="SocialMedia"/>
    <w:rPr>
      <w:color w:val="0D0D0D" w:themeColor="text1" w:themeTint="F2"/>
      <w:sz w:val="24"/>
      <w:szCs w:val="24"/>
    </w:rPr>
  </w:style>
  <w:style w:type="paragraph" w:customStyle="1" w:styleId="Licence">
    <w:name w:val="Licence"/>
    <w:basedOn w:val="Normal"/>
    <w:link w:val="LicenceChar"/>
    <w:pPr>
      <w:tabs>
        <w:tab w:val="left" w:pos="1418"/>
      </w:tabs>
      <w:ind w:left="284"/>
    </w:pPr>
  </w:style>
  <w:style w:type="character" w:customStyle="1" w:styleId="ReferenceChar">
    <w:name w:val="Reference Char"/>
    <w:basedOn w:val="DefaultParagraphFont"/>
    <w:link w:val="Reference"/>
    <w:rPr>
      <w:color w:val="0D0D0D" w:themeColor="text1" w:themeTint="F2"/>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link w:val="Licence"/>
    <w:rPr>
      <w:color w:val="0D0D0D" w:themeColor="text1" w:themeTint="F2"/>
      <w:sz w:val="24"/>
      <w:szCs w:val="24"/>
    </w:rPr>
  </w:style>
  <w:style w:type="paragraph" w:styleId="ListBullet2">
    <w:name w:val="List Bullet 2"/>
    <w:basedOn w:val="Normal"/>
    <w:pPr>
      <w:numPr>
        <w:numId w:val="8"/>
      </w:numPr>
      <w:tabs>
        <w:tab w:val="left" w:pos="-152"/>
      </w:tabs>
    </w:pPr>
  </w:style>
  <w:style w:type="paragraph" w:customStyle="1" w:styleId="Logos">
    <w:name w:val="Logos"/>
    <w:basedOn w:val="Normal"/>
    <w:link w:val="LogosChar"/>
    <w:pPr>
      <w:pageBreakBefore/>
      <w:widowControl w:val="0"/>
    </w:pPr>
  </w:style>
  <w:style w:type="character" w:customStyle="1" w:styleId="LogosChar">
    <w:name w:val="Logos Char"/>
    <w:basedOn w:val="DefaultParagraphFont"/>
    <w:link w:val="Logos"/>
    <w:rPr>
      <w:color w:val="0D0D0D" w:themeColor="text1" w:themeTint="F2"/>
      <w:sz w:val="24"/>
      <w:szCs w:val="24"/>
    </w:rPr>
  </w:style>
  <w:style w:type="paragraph" w:styleId="ListBullet3">
    <w:name w:val="List Bullet 3"/>
    <w:basedOn w:val="Normal"/>
    <w:pPr>
      <w:numPr>
        <w:numId w:val="9"/>
      </w:numPr>
    </w:pPr>
  </w:style>
  <w:style w:type="paragraph" w:customStyle="1" w:styleId="DfESOutNumbered">
    <w:name w:val="DfESOutNumbered"/>
    <w:basedOn w:val="Normal"/>
    <w:link w:val="DfESOutNumberedChar"/>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link w:val="DfESOutNumbered"/>
    <w:rPr>
      <w:rFonts w:cs="Arial"/>
      <w:color w:val="0D0D0D" w:themeColor="text1" w:themeTint="F2"/>
      <w:sz w:val="22"/>
      <w:szCs w:val="24"/>
      <w:lang w:eastAsia="en-US"/>
    </w:rPr>
  </w:style>
  <w:style w:type="paragraph" w:customStyle="1" w:styleId="DeptBullets">
    <w:name w:val="DeptBullets"/>
    <w:basedOn w:val="Normal"/>
    <w:link w:val="DeptBulletsChar"/>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link w:val="DeptBullets"/>
    <w:rPr>
      <w:color w:val="0D0D0D" w:themeColor="text1" w:themeTint="F2"/>
      <w:sz w:val="24"/>
      <w:szCs w:val="24"/>
      <w:lang w:eastAsia="en-US"/>
    </w:rPr>
  </w:style>
  <w:style w:type="paragraph" w:customStyle="1" w:styleId="TOCHeader">
    <w:name w:val="TOC Header"/>
    <w:link w:val="TOCHeaderChar"/>
    <w:pPr>
      <w:pageBreakBefore/>
      <w:suppressAutoHyphens/>
    </w:pPr>
    <w:rPr>
      <w:b/>
      <w:color w:val="104F75"/>
      <w:sz w:val="36"/>
      <w:szCs w:val="24"/>
    </w:rPr>
  </w:style>
  <w:style w:type="character" w:customStyle="1" w:styleId="TOCHeaderChar">
    <w:name w:val="TOC Header Char"/>
    <w:link w:val="TOCHeade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link w:val="TextIndent1"/>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3"/>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4"/>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5"/>
      </w:numPr>
      <w:overflowPunct w:val="0"/>
      <w:autoSpaceDE w:val="0"/>
      <w:spacing w:line="240" w:lineRule="auto"/>
    </w:pPr>
    <w:rPr>
      <w:rFonts w:cs="Arial"/>
      <w:color w:val="auto"/>
      <w:sz w:val="22"/>
      <w:szCs w:val="20"/>
      <w:lang w:eastAsia="en-US"/>
    </w:rPr>
  </w:style>
  <w:style w:type="paragraph" w:styleId="DocumentMap">
    <w:name w:val="Document Map"/>
    <w:basedOn w:val="Normal"/>
    <w:link w:val="DocumentMapChar"/>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link w:val="DocumentMap"/>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link w:val="BodyTextIndentChar"/>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link w:val="BodyTextInde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link w:val="SubtitleChar"/>
    <w:qFormat/>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link w:val="Subtitle"/>
    <w:rPr>
      <w:i/>
      <w:sz w:val="24"/>
      <w:lang w:eastAsia="en-US"/>
    </w:rPr>
  </w:style>
  <w:style w:type="character" w:customStyle="1" w:styleId="CharChar">
    <w:name w:val="Char Char"/>
    <w:rPr>
      <w:rFonts w:ascii="Arial" w:hAnsi="Arial"/>
      <w:lang w:val="en-GB" w:eastAsia="en-US" w:bidi="ar-SA"/>
    </w:rPr>
  </w:style>
  <w:style w:type="table" w:styleId="TableGrid">
    <w:name w:val="Table Grid"/>
    <w:basedOn w:val="TableNormal"/>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8">
    <w:name w:val="LFO8"/>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1">
    <w:name w:val="LFO8_1"/>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1">
    <w:name w:val="LFO11"/>
    <w:basedOn w:val="NoList"/>
    <w:pPr>
      <w:numPr>
        <w:numId w:val="14"/>
      </w:numPr>
    </w:pPr>
  </w:style>
  <w:style w:type="numbering" w:customStyle="1" w:styleId="LFO18">
    <w:name w:val="LFO18"/>
    <w:basedOn w:val="NoList"/>
    <w:pPr>
      <w:numPr>
        <w:numId w:val="15"/>
      </w:numPr>
    </w:pPr>
  </w:style>
  <w:style w:type="table" w:customStyle="1" w:styleId="TableGrid1">
    <w:name w:val="Table Grid1"/>
    <w:basedOn w:val="TableNormal"/>
    <w:next w:val="TableGrid"/>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8373170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Z6JRPTRWTTFX-9-33805</_dlc_DocId>
    <_dlc_DocIdUrl xmlns="b8cb3cbd-ce5c-4a72-9da4-9013f91c5903">
      <Url>http://workplaces/sites/sr/a/_layouts/DocIdRedir.aspx?ID=Z6JRPTRWTTFX-9-33805</Url>
      <Description>Z6JRPTRWTTFX-9-33805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9532-383E-4119-9099-BA64296A8226}">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purl.org/dc/elements/1.1/"/>
    <ds:schemaRef ds:uri="997afc33-607c-4a50-be01-8845a1308ccc"/>
    <ds:schemaRef ds:uri="http://schemas.microsoft.com/office/2006/documentManagement/types"/>
    <ds:schemaRef ds:uri="b8cb3cbd-ce5c-4a72-9da4-9013f91c5903"/>
    <ds:schemaRef ds:uri="http://purl.org/dc/terms/"/>
    <ds:schemaRef ds:uri="http://purl.org/dc/dcmitype/"/>
    <ds:schemaRef ds:uri="http://schemas.microsoft.com/office/infopath/2007/PartnerControl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8223C44-3C25-4A7F-83F3-92C61E66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D6E40-8632-4CB6-A710-27C973CB5E61}">
  <ds:schemaRefs>
    <ds:schemaRef ds:uri="Microsoft.SharePoint.Taxonomy.ContentTypeSync"/>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4F8CE01C-24C7-45FD-A357-1007A3D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9975</Words>
  <Characters>56864</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66706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creator>Publishing.TEAM@education.gsi.gov.uk</dc:creator>
  <dc:description>Master-ET-v3.5</dc:description>
  <cp:lastModifiedBy>Mrs C Delahay</cp:lastModifiedBy>
  <cp:revision>2</cp:revision>
  <cp:lastPrinted>2014-12-08T15:41:00Z</cp:lastPrinted>
  <dcterms:created xsi:type="dcterms:W3CDTF">2017-04-19T11:59:00Z</dcterms:created>
  <dcterms:modified xsi:type="dcterms:W3CDTF">2017-04-19T11:59:00Z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ffa738ec-95c2-4c71-ad21-4174b6bb6f33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